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B49B1" w14:textId="77777777" w:rsidR="00791CC1" w:rsidRDefault="00791CC1" w:rsidP="00845806">
      <w:pPr>
        <w:spacing w:before="120" w:after="120"/>
      </w:pPr>
    </w:p>
    <w:p w14:paraId="149804E6" w14:textId="13BD4578" w:rsidR="00676EC3" w:rsidRPr="00676EC3" w:rsidRDefault="002E1786" w:rsidP="00845806">
      <w:pPr>
        <w:spacing w:before="120" w:after="120"/>
        <w:jc w:val="center"/>
        <w:rPr>
          <w:rFonts w:eastAsia="Calibri" w:cs="Arial"/>
          <w:b/>
          <w:sz w:val="28"/>
          <w:szCs w:val="28"/>
          <w:lang w:val="en-GB"/>
        </w:rPr>
      </w:pPr>
      <w:r w:rsidRPr="00676EC3">
        <w:rPr>
          <w:rFonts w:eastAsia="Calibri" w:cs="Arial"/>
          <w:b/>
          <w:bCs/>
          <w:sz w:val="28"/>
          <w:szCs w:val="28"/>
          <w:lang w:val="en-GB"/>
        </w:rPr>
        <w:t>Managing Taught Award Or Credit-Bearing Provision Delivered In Partnership</w:t>
      </w:r>
    </w:p>
    <w:p w14:paraId="2700ACD2" w14:textId="77777777" w:rsidR="00676EC3" w:rsidRPr="00676EC3" w:rsidRDefault="00676EC3" w:rsidP="00845806">
      <w:pPr>
        <w:spacing w:before="120" w:after="120"/>
        <w:rPr>
          <w:rFonts w:eastAsia="Calibri" w:cs="Arial"/>
          <w:lang w:val="en-GB"/>
        </w:rPr>
      </w:pPr>
    </w:p>
    <w:p w14:paraId="5FF2AFC8" w14:textId="673E8E93" w:rsidR="00676EC3" w:rsidRPr="006B63C1" w:rsidRDefault="002E1786" w:rsidP="00845806">
      <w:pPr>
        <w:keepNext/>
        <w:keepLines/>
        <w:spacing w:before="120" w:after="120"/>
        <w:jc w:val="center"/>
        <w:rPr>
          <w:rFonts w:eastAsia="MS Gothic" w:cs="Arial"/>
          <w:b/>
          <w:bCs/>
          <w:sz w:val="28"/>
          <w:szCs w:val="28"/>
          <w:lang w:eastAsia="ja-JP"/>
        </w:rPr>
      </w:pPr>
      <w:bookmarkStart w:id="0" w:name="Contents"/>
      <w:r w:rsidRPr="006B63C1">
        <w:rPr>
          <w:rFonts w:eastAsia="Calibri" w:cs="Arial"/>
          <w:b/>
          <w:sz w:val="28"/>
          <w:szCs w:val="28"/>
          <w:lang w:val="en-GB"/>
        </w:rPr>
        <w:t>Contents</w:t>
      </w:r>
      <w:bookmarkEnd w:id="0"/>
    </w:p>
    <w:p w14:paraId="1A7184EE" w14:textId="7640A9E7" w:rsidR="00183675" w:rsidRPr="000D5274" w:rsidRDefault="00676EC3" w:rsidP="00845806">
      <w:pPr>
        <w:pStyle w:val="TOC1"/>
        <w:tabs>
          <w:tab w:val="right" w:leader="dot" w:pos="9628"/>
        </w:tabs>
        <w:spacing w:before="120" w:after="120"/>
        <w:rPr>
          <w:rFonts w:eastAsiaTheme="minorEastAsia" w:cs="Arial"/>
          <w:noProof/>
          <w:sz w:val="22"/>
          <w:szCs w:val="22"/>
          <w:lang w:val="en-GB" w:eastAsia="en-GB"/>
        </w:rPr>
      </w:pPr>
      <w:r w:rsidRPr="00676EC3">
        <w:rPr>
          <w:rFonts w:eastAsia="Times New Roman" w:cs="Times New Roman"/>
          <w:b/>
          <w:lang w:val="en-GB" w:eastAsia="en-GB"/>
        </w:rPr>
        <w:fldChar w:fldCharType="begin"/>
      </w:r>
      <w:r w:rsidRPr="00676EC3">
        <w:rPr>
          <w:rFonts w:eastAsia="Times New Roman" w:cs="Times New Roman"/>
          <w:b/>
          <w:lang w:val="en-GB" w:eastAsia="en-GB"/>
        </w:rPr>
        <w:instrText xml:space="preserve"> TOC \o "1-3" \h \z \u </w:instrText>
      </w:r>
      <w:r w:rsidRPr="00676EC3">
        <w:rPr>
          <w:rFonts w:eastAsia="Times New Roman" w:cs="Times New Roman"/>
          <w:b/>
          <w:lang w:val="en-GB" w:eastAsia="en-GB"/>
        </w:rPr>
        <w:fldChar w:fldCharType="separate"/>
      </w:r>
      <w:hyperlink w:anchor="_Toc492462824" w:history="1">
        <w:r w:rsidR="00183675" w:rsidRPr="000D5274">
          <w:rPr>
            <w:rStyle w:val="Hyperlink"/>
            <w:rFonts w:eastAsia="SimSun" w:cs="Arial"/>
            <w:b/>
            <w:bCs/>
            <w:noProof/>
            <w:lang w:val="en-GB"/>
          </w:rPr>
          <w:t>Overview and purpose</w:t>
        </w:r>
        <w:r w:rsidR="00183675" w:rsidRPr="000D5274">
          <w:rPr>
            <w:rFonts w:cs="Arial"/>
            <w:noProof/>
            <w:webHidden/>
          </w:rPr>
          <w:tab/>
        </w:r>
        <w:r w:rsidR="00183675" w:rsidRPr="000D5274">
          <w:rPr>
            <w:rFonts w:cs="Arial"/>
            <w:noProof/>
            <w:webHidden/>
          </w:rPr>
          <w:fldChar w:fldCharType="begin"/>
        </w:r>
        <w:r w:rsidR="00183675" w:rsidRPr="000D5274">
          <w:rPr>
            <w:rFonts w:cs="Arial"/>
            <w:noProof/>
            <w:webHidden/>
          </w:rPr>
          <w:instrText xml:space="preserve"> PAGEREF _Toc492462824 \h </w:instrText>
        </w:r>
        <w:r w:rsidR="00183675" w:rsidRPr="000D5274">
          <w:rPr>
            <w:rFonts w:cs="Arial"/>
            <w:noProof/>
            <w:webHidden/>
          </w:rPr>
        </w:r>
        <w:r w:rsidR="00183675" w:rsidRPr="000D5274">
          <w:rPr>
            <w:rFonts w:cs="Arial"/>
            <w:noProof/>
            <w:webHidden/>
          </w:rPr>
          <w:fldChar w:fldCharType="separate"/>
        </w:r>
        <w:r w:rsidR="00703561">
          <w:rPr>
            <w:rFonts w:cs="Arial"/>
            <w:noProof/>
            <w:webHidden/>
          </w:rPr>
          <w:t>2</w:t>
        </w:r>
        <w:r w:rsidR="00183675" w:rsidRPr="000D5274">
          <w:rPr>
            <w:rFonts w:cs="Arial"/>
            <w:noProof/>
            <w:webHidden/>
          </w:rPr>
          <w:fldChar w:fldCharType="end"/>
        </w:r>
      </w:hyperlink>
    </w:p>
    <w:p w14:paraId="10056293" w14:textId="5EB15AD9" w:rsidR="00183675" w:rsidRPr="000D5274" w:rsidRDefault="00183675" w:rsidP="00845806">
      <w:pPr>
        <w:pStyle w:val="TOC1"/>
        <w:tabs>
          <w:tab w:val="right" w:leader="dot" w:pos="9628"/>
        </w:tabs>
        <w:spacing w:before="120" w:after="120"/>
        <w:rPr>
          <w:rFonts w:eastAsiaTheme="minorEastAsia" w:cs="Arial"/>
          <w:noProof/>
          <w:sz w:val="22"/>
          <w:szCs w:val="22"/>
          <w:lang w:val="en-GB" w:eastAsia="en-GB"/>
        </w:rPr>
      </w:pPr>
      <w:hyperlink w:anchor="_Toc492462825" w:history="1">
        <w:r w:rsidRPr="000D5274">
          <w:rPr>
            <w:rStyle w:val="Hyperlink"/>
            <w:rFonts w:eastAsia="SimSun" w:cs="Arial"/>
            <w:b/>
            <w:bCs/>
            <w:noProof/>
            <w:lang w:val="en-GB"/>
          </w:rPr>
          <w:t>Outline of the procedure</w:t>
        </w:r>
        <w:r w:rsidRPr="000D5274">
          <w:rPr>
            <w:rFonts w:cs="Arial"/>
            <w:noProof/>
            <w:webHidden/>
          </w:rPr>
          <w:tab/>
        </w:r>
        <w:r w:rsidRPr="000D5274">
          <w:rPr>
            <w:rFonts w:cs="Arial"/>
            <w:noProof/>
            <w:webHidden/>
          </w:rPr>
          <w:fldChar w:fldCharType="begin"/>
        </w:r>
        <w:r w:rsidRPr="000D5274">
          <w:rPr>
            <w:rFonts w:cs="Arial"/>
            <w:noProof/>
            <w:webHidden/>
          </w:rPr>
          <w:instrText xml:space="preserve"> PAGEREF _Toc492462825 \h </w:instrText>
        </w:r>
        <w:r w:rsidRPr="000D5274">
          <w:rPr>
            <w:rFonts w:cs="Arial"/>
            <w:noProof/>
            <w:webHidden/>
          </w:rPr>
        </w:r>
        <w:r w:rsidRPr="000D5274">
          <w:rPr>
            <w:rFonts w:cs="Arial"/>
            <w:noProof/>
            <w:webHidden/>
          </w:rPr>
          <w:fldChar w:fldCharType="separate"/>
        </w:r>
        <w:r w:rsidR="00703561">
          <w:rPr>
            <w:rFonts w:cs="Arial"/>
            <w:noProof/>
            <w:webHidden/>
          </w:rPr>
          <w:t>2</w:t>
        </w:r>
        <w:r w:rsidRPr="000D5274">
          <w:rPr>
            <w:rFonts w:cs="Arial"/>
            <w:noProof/>
            <w:webHidden/>
          </w:rPr>
          <w:fldChar w:fldCharType="end"/>
        </w:r>
      </w:hyperlink>
    </w:p>
    <w:p w14:paraId="39A35926" w14:textId="26A8F840" w:rsidR="00183675" w:rsidRPr="000D5274" w:rsidRDefault="00183675" w:rsidP="00845806">
      <w:pPr>
        <w:pStyle w:val="TOC1"/>
        <w:tabs>
          <w:tab w:val="right" w:leader="dot" w:pos="9628"/>
        </w:tabs>
        <w:spacing w:before="120" w:after="120"/>
        <w:rPr>
          <w:rFonts w:eastAsiaTheme="minorEastAsia" w:cs="Arial"/>
          <w:noProof/>
          <w:sz w:val="22"/>
          <w:szCs w:val="22"/>
          <w:lang w:val="en-GB" w:eastAsia="en-GB"/>
        </w:rPr>
      </w:pPr>
      <w:hyperlink w:anchor="_Toc492462826" w:history="1">
        <w:r w:rsidRPr="000D5274">
          <w:rPr>
            <w:rStyle w:val="Hyperlink"/>
            <w:rFonts w:eastAsia="SimSun" w:cs="Arial"/>
            <w:b/>
            <w:bCs/>
            <w:noProof/>
            <w:lang w:val="en-GB"/>
          </w:rPr>
          <w:t>Monitoring and review of taught award or credit-bearing provision delivered in partnership with another organisation</w:t>
        </w:r>
        <w:r w:rsidRPr="000D5274">
          <w:rPr>
            <w:rFonts w:cs="Arial"/>
            <w:noProof/>
            <w:webHidden/>
          </w:rPr>
          <w:tab/>
        </w:r>
        <w:r w:rsidRPr="000D5274">
          <w:rPr>
            <w:rFonts w:cs="Arial"/>
            <w:noProof/>
            <w:webHidden/>
          </w:rPr>
          <w:fldChar w:fldCharType="begin"/>
        </w:r>
        <w:r w:rsidRPr="000D5274">
          <w:rPr>
            <w:rFonts w:cs="Arial"/>
            <w:noProof/>
            <w:webHidden/>
          </w:rPr>
          <w:instrText xml:space="preserve"> PAGEREF _Toc492462826 \h </w:instrText>
        </w:r>
        <w:r w:rsidRPr="000D5274">
          <w:rPr>
            <w:rFonts w:cs="Arial"/>
            <w:noProof/>
            <w:webHidden/>
          </w:rPr>
        </w:r>
        <w:r w:rsidRPr="000D5274">
          <w:rPr>
            <w:rFonts w:cs="Arial"/>
            <w:noProof/>
            <w:webHidden/>
          </w:rPr>
          <w:fldChar w:fldCharType="separate"/>
        </w:r>
        <w:r w:rsidR="00703561">
          <w:rPr>
            <w:rFonts w:cs="Arial"/>
            <w:noProof/>
            <w:webHidden/>
          </w:rPr>
          <w:t>3</w:t>
        </w:r>
        <w:r w:rsidRPr="000D5274">
          <w:rPr>
            <w:rFonts w:cs="Arial"/>
            <w:noProof/>
            <w:webHidden/>
          </w:rPr>
          <w:fldChar w:fldCharType="end"/>
        </w:r>
      </w:hyperlink>
    </w:p>
    <w:p w14:paraId="4A9FE60A" w14:textId="677577E6" w:rsidR="00183675" w:rsidRPr="000D5274" w:rsidRDefault="00183675" w:rsidP="00845806">
      <w:pPr>
        <w:pStyle w:val="TOC1"/>
        <w:tabs>
          <w:tab w:val="right" w:leader="dot" w:pos="9628"/>
        </w:tabs>
        <w:spacing w:before="120" w:after="120"/>
        <w:rPr>
          <w:rFonts w:eastAsiaTheme="minorEastAsia" w:cs="Arial"/>
          <w:noProof/>
          <w:sz w:val="22"/>
          <w:szCs w:val="22"/>
          <w:lang w:val="en-GB" w:eastAsia="en-GB"/>
        </w:rPr>
      </w:pPr>
      <w:hyperlink w:anchor="_Toc492462827" w:history="1">
        <w:r w:rsidRPr="000D5274">
          <w:rPr>
            <w:rStyle w:val="Hyperlink"/>
            <w:rFonts w:eastAsia="SimSun" w:cs="Arial"/>
            <w:b/>
            <w:bCs/>
            <w:noProof/>
            <w:lang w:val="en-GB"/>
          </w:rPr>
          <w:t>Responsibilities</w:t>
        </w:r>
        <w:r w:rsidRPr="000D5274">
          <w:rPr>
            <w:rFonts w:cs="Arial"/>
            <w:noProof/>
            <w:webHidden/>
          </w:rPr>
          <w:tab/>
        </w:r>
        <w:r w:rsidRPr="000D5274">
          <w:rPr>
            <w:rFonts w:cs="Arial"/>
            <w:noProof/>
            <w:webHidden/>
          </w:rPr>
          <w:fldChar w:fldCharType="begin"/>
        </w:r>
        <w:r w:rsidRPr="000D5274">
          <w:rPr>
            <w:rFonts w:cs="Arial"/>
            <w:noProof/>
            <w:webHidden/>
          </w:rPr>
          <w:instrText xml:space="preserve"> PAGEREF _Toc492462827 \h </w:instrText>
        </w:r>
        <w:r w:rsidRPr="000D5274">
          <w:rPr>
            <w:rFonts w:cs="Arial"/>
            <w:noProof/>
            <w:webHidden/>
          </w:rPr>
        </w:r>
        <w:r w:rsidRPr="000D5274">
          <w:rPr>
            <w:rFonts w:cs="Arial"/>
            <w:noProof/>
            <w:webHidden/>
          </w:rPr>
          <w:fldChar w:fldCharType="separate"/>
        </w:r>
        <w:r w:rsidR="00703561">
          <w:rPr>
            <w:rFonts w:cs="Arial"/>
            <w:noProof/>
            <w:webHidden/>
          </w:rPr>
          <w:t>3</w:t>
        </w:r>
        <w:r w:rsidRPr="000D5274">
          <w:rPr>
            <w:rFonts w:cs="Arial"/>
            <w:noProof/>
            <w:webHidden/>
          </w:rPr>
          <w:fldChar w:fldCharType="end"/>
        </w:r>
      </w:hyperlink>
    </w:p>
    <w:p w14:paraId="7348E24D" w14:textId="405ED9BB" w:rsidR="00183675" w:rsidRPr="000D5274" w:rsidRDefault="00183675" w:rsidP="00845806">
      <w:pPr>
        <w:pStyle w:val="TOC1"/>
        <w:tabs>
          <w:tab w:val="right" w:leader="dot" w:pos="9628"/>
        </w:tabs>
        <w:spacing w:before="120" w:after="120"/>
        <w:rPr>
          <w:rFonts w:eastAsiaTheme="minorEastAsia" w:cs="Arial"/>
          <w:noProof/>
          <w:sz w:val="22"/>
          <w:szCs w:val="22"/>
          <w:lang w:val="en-GB" w:eastAsia="en-GB"/>
        </w:rPr>
      </w:pPr>
      <w:hyperlink w:anchor="_Toc492462828" w:history="1">
        <w:r w:rsidRPr="000D5274">
          <w:rPr>
            <w:rStyle w:val="Hyperlink"/>
            <w:rFonts w:eastAsia="SimSun" w:cs="Arial"/>
            <w:b/>
            <w:bCs/>
            <w:noProof/>
            <w:lang w:val="en-GB"/>
          </w:rPr>
          <w:t>Appointing an external academic peer</w:t>
        </w:r>
        <w:r w:rsidRPr="000D5274">
          <w:rPr>
            <w:rFonts w:cs="Arial"/>
            <w:noProof/>
            <w:webHidden/>
          </w:rPr>
          <w:tab/>
        </w:r>
        <w:r w:rsidRPr="000D5274">
          <w:rPr>
            <w:rFonts w:cs="Arial"/>
            <w:noProof/>
            <w:webHidden/>
          </w:rPr>
          <w:fldChar w:fldCharType="begin"/>
        </w:r>
        <w:r w:rsidRPr="000D5274">
          <w:rPr>
            <w:rFonts w:cs="Arial"/>
            <w:noProof/>
            <w:webHidden/>
          </w:rPr>
          <w:instrText xml:space="preserve"> PAGEREF _Toc492462828 \h </w:instrText>
        </w:r>
        <w:r w:rsidRPr="000D5274">
          <w:rPr>
            <w:rFonts w:cs="Arial"/>
            <w:noProof/>
            <w:webHidden/>
          </w:rPr>
        </w:r>
        <w:r w:rsidRPr="000D5274">
          <w:rPr>
            <w:rFonts w:cs="Arial"/>
            <w:noProof/>
            <w:webHidden/>
          </w:rPr>
          <w:fldChar w:fldCharType="separate"/>
        </w:r>
        <w:r w:rsidR="00703561">
          <w:rPr>
            <w:rFonts w:cs="Arial"/>
            <w:noProof/>
            <w:webHidden/>
          </w:rPr>
          <w:t>4</w:t>
        </w:r>
        <w:r w:rsidRPr="000D5274">
          <w:rPr>
            <w:rFonts w:cs="Arial"/>
            <w:noProof/>
            <w:webHidden/>
          </w:rPr>
          <w:fldChar w:fldCharType="end"/>
        </w:r>
      </w:hyperlink>
    </w:p>
    <w:p w14:paraId="4E1E878D" w14:textId="02E1B510" w:rsidR="00183675" w:rsidRPr="000D5274" w:rsidRDefault="00183675" w:rsidP="00845806">
      <w:pPr>
        <w:pStyle w:val="TOC1"/>
        <w:tabs>
          <w:tab w:val="right" w:leader="dot" w:pos="9628"/>
        </w:tabs>
        <w:spacing w:before="120" w:after="120"/>
        <w:rPr>
          <w:rFonts w:eastAsiaTheme="minorEastAsia" w:cs="Arial"/>
          <w:noProof/>
          <w:sz w:val="22"/>
          <w:szCs w:val="22"/>
          <w:lang w:val="en-GB" w:eastAsia="en-GB"/>
        </w:rPr>
      </w:pPr>
      <w:hyperlink w:anchor="_Toc492462829" w:history="1">
        <w:r w:rsidRPr="000D5274">
          <w:rPr>
            <w:rStyle w:val="Hyperlink"/>
            <w:rFonts w:eastAsia="SimSun" w:cs="Arial"/>
            <w:b/>
            <w:bCs/>
            <w:noProof/>
            <w:lang w:val="en-GB"/>
          </w:rPr>
          <w:t>Amending, withdrawing or closing taught award or credit-bearing provision</w:t>
        </w:r>
        <w:r w:rsidRPr="000D5274">
          <w:rPr>
            <w:rFonts w:cs="Arial"/>
            <w:noProof/>
            <w:webHidden/>
          </w:rPr>
          <w:tab/>
        </w:r>
        <w:r w:rsidRPr="000D5274">
          <w:rPr>
            <w:rFonts w:cs="Arial"/>
            <w:noProof/>
            <w:webHidden/>
          </w:rPr>
          <w:fldChar w:fldCharType="begin"/>
        </w:r>
        <w:r w:rsidRPr="000D5274">
          <w:rPr>
            <w:rFonts w:cs="Arial"/>
            <w:noProof/>
            <w:webHidden/>
          </w:rPr>
          <w:instrText xml:space="preserve"> PAGEREF _Toc492462829 \h </w:instrText>
        </w:r>
        <w:r w:rsidRPr="000D5274">
          <w:rPr>
            <w:rFonts w:cs="Arial"/>
            <w:noProof/>
            <w:webHidden/>
          </w:rPr>
        </w:r>
        <w:r w:rsidRPr="000D5274">
          <w:rPr>
            <w:rFonts w:cs="Arial"/>
            <w:noProof/>
            <w:webHidden/>
          </w:rPr>
          <w:fldChar w:fldCharType="separate"/>
        </w:r>
        <w:r w:rsidR="00703561">
          <w:rPr>
            <w:rFonts w:cs="Arial"/>
            <w:noProof/>
            <w:webHidden/>
          </w:rPr>
          <w:t>4</w:t>
        </w:r>
        <w:r w:rsidRPr="000D5274">
          <w:rPr>
            <w:rFonts w:cs="Arial"/>
            <w:noProof/>
            <w:webHidden/>
          </w:rPr>
          <w:fldChar w:fldCharType="end"/>
        </w:r>
      </w:hyperlink>
    </w:p>
    <w:p w14:paraId="04431580" w14:textId="1BA6D724" w:rsidR="00183675" w:rsidRDefault="00183675" w:rsidP="00845806">
      <w:pPr>
        <w:pStyle w:val="TOC1"/>
        <w:tabs>
          <w:tab w:val="right" w:leader="dot" w:pos="9628"/>
        </w:tabs>
        <w:spacing w:before="120" w:after="120"/>
        <w:rPr>
          <w:rFonts w:eastAsiaTheme="minorEastAsia"/>
          <w:noProof/>
          <w:sz w:val="22"/>
          <w:szCs w:val="22"/>
          <w:lang w:val="en-GB" w:eastAsia="en-GB"/>
        </w:rPr>
      </w:pPr>
      <w:hyperlink w:anchor="_Toc492462830" w:history="1">
        <w:r w:rsidRPr="000D5274">
          <w:rPr>
            <w:rStyle w:val="Hyperlink"/>
            <w:rFonts w:eastAsia="SimSun" w:cs="Arial"/>
            <w:b/>
            <w:bCs/>
            <w:noProof/>
            <w:lang w:val="en-GB"/>
          </w:rPr>
          <w:t>Terminating a collaboration agreement and / or closing a taught award or credit-bearing provision delivered in partnership with another organisation</w:t>
        </w:r>
        <w:r w:rsidRPr="000D5274">
          <w:rPr>
            <w:rFonts w:cs="Arial"/>
            <w:noProof/>
            <w:webHidden/>
          </w:rPr>
          <w:tab/>
        </w:r>
        <w:r w:rsidRPr="000D5274">
          <w:rPr>
            <w:rFonts w:cs="Arial"/>
            <w:noProof/>
            <w:webHidden/>
          </w:rPr>
          <w:fldChar w:fldCharType="begin"/>
        </w:r>
        <w:r w:rsidRPr="000D5274">
          <w:rPr>
            <w:rFonts w:cs="Arial"/>
            <w:noProof/>
            <w:webHidden/>
          </w:rPr>
          <w:instrText xml:space="preserve"> PAGEREF _Toc492462830 \h </w:instrText>
        </w:r>
        <w:r w:rsidRPr="000D5274">
          <w:rPr>
            <w:rFonts w:cs="Arial"/>
            <w:noProof/>
            <w:webHidden/>
          </w:rPr>
        </w:r>
        <w:r w:rsidRPr="000D5274">
          <w:rPr>
            <w:rFonts w:cs="Arial"/>
            <w:noProof/>
            <w:webHidden/>
          </w:rPr>
          <w:fldChar w:fldCharType="separate"/>
        </w:r>
        <w:r w:rsidR="00703561">
          <w:rPr>
            <w:rFonts w:cs="Arial"/>
            <w:noProof/>
            <w:webHidden/>
          </w:rPr>
          <w:t>4</w:t>
        </w:r>
        <w:r w:rsidRPr="000D5274">
          <w:rPr>
            <w:rFonts w:cs="Arial"/>
            <w:noProof/>
            <w:webHidden/>
          </w:rPr>
          <w:fldChar w:fldCharType="end"/>
        </w:r>
      </w:hyperlink>
    </w:p>
    <w:p w14:paraId="1E343525" w14:textId="4A9A3F0C" w:rsidR="00F86022" w:rsidRPr="00587353" w:rsidRDefault="00676EC3" w:rsidP="00845806">
      <w:pPr>
        <w:pStyle w:val="TOC1"/>
        <w:tabs>
          <w:tab w:val="left" w:pos="440"/>
          <w:tab w:val="right" w:leader="dot" w:pos="9010"/>
        </w:tabs>
        <w:spacing w:before="120" w:after="120"/>
        <w:rPr>
          <w:rFonts w:ascii="Calibri" w:eastAsia="Calibri" w:hAnsi="Calibri" w:cs="Times New Roman"/>
          <w:sz w:val="22"/>
          <w:szCs w:val="22"/>
          <w:lang w:val="en-GB"/>
        </w:rPr>
        <w:sectPr w:rsidR="00F86022" w:rsidRPr="00587353" w:rsidSect="00F8602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  <w:r w:rsidRPr="00676EC3">
        <w:rPr>
          <w:rFonts w:eastAsia="Calibri" w:cs="Arial"/>
          <w:b/>
          <w:bCs/>
          <w:noProof/>
          <w:sz w:val="22"/>
          <w:szCs w:val="22"/>
          <w:lang w:val="en-GB"/>
        </w:rPr>
        <w:fldChar w:fldCharType="end"/>
      </w:r>
    </w:p>
    <w:p w14:paraId="47B46BD4" w14:textId="77777777" w:rsidR="00676EC3" w:rsidRPr="00C50E99" w:rsidRDefault="00676EC3" w:rsidP="00845806">
      <w:pPr>
        <w:pStyle w:val="Heading1"/>
        <w:spacing w:line="360" w:lineRule="auto"/>
      </w:pPr>
      <w:bookmarkStart w:id="1" w:name="_Toc492462824"/>
      <w:r w:rsidRPr="00C50E99">
        <w:lastRenderedPageBreak/>
        <w:t>Overview and purpose</w:t>
      </w:r>
      <w:bookmarkEnd w:id="1"/>
    </w:p>
    <w:p w14:paraId="6F99893E" w14:textId="41A5B1E4" w:rsidR="00676EC3" w:rsidRPr="00265D0A" w:rsidRDefault="00676EC3" w:rsidP="004975C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567" w:hanging="567"/>
        <w:rPr>
          <w:rFonts w:eastAsia="Arial" w:cs="Arial"/>
          <w:lang w:val="en-GB"/>
        </w:rPr>
      </w:pPr>
      <w:r w:rsidRPr="203EBF40">
        <w:rPr>
          <w:rFonts w:eastAsia="Calibri" w:cs="Arial"/>
          <w:lang w:val="en-GB"/>
        </w:rPr>
        <w:t>This section of the Quality Framework sets out the process for designing, developing, approving, monitoring and review of all taught award or credit-bearing provision delivered in partnership</w:t>
      </w:r>
      <w:r w:rsidR="00FD25CC">
        <w:rPr>
          <w:rFonts w:eastAsia="Calibri" w:cs="Arial"/>
          <w:lang w:val="en-GB"/>
        </w:rPr>
        <w:t xml:space="preserve"> </w:t>
      </w:r>
      <w:r w:rsidR="4A8040A1" w:rsidRPr="203EBF40">
        <w:rPr>
          <w:rFonts w:eastAsia="Arial" w:cs="Arial"/>
          <w:color w:val="000000" w:themeColor="text1"/>
          <w:lang w:val="en-GB"/>
        </w:rPr>
        <w:t xml:space="preserve">(internationally and within the UK) as outlined in the University’s Strategy. In addition, staff should take into account related guidance for the development of franchise </w:t>
      </w:r>
      <w:r w:rsidR="4A8040A1" w:rsidRPr="00265D0A">
        <w:rPr>
          <w:rFonts w:eastAsia="Arial" w:cs="Arial"/>
          <w:lang w:val="en-GB"/>
        </w:rPr>
        <w:t>and other non-standard deliveries.</w:t>
      </w:r>
    </w:p>
    <w:p w14:paraId="7032F892" w14:textId="6F1E9EF2" w:rsidR="00676EC3" w:rsidRPr="00676EC3" w:rsidRDefault="30812BBE" w:rsidP="00845806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567" w:hanging="567"/>
        <w:rPr>
          <w:rFonts w:eastAsiaTheme="minorEastAsia"/>
          <w:lang w:val="en-GB"/>
        </w:rPr>
      </w:pPr>
      <w:r w:rsidRPr="203EBF40">
        <w:rPr>
          <w:rFonts w:eastAsia="Arial" w:cs="Arial"/>
        </w:rPr>
        <w:t xml:space="preserve">The procedures set out below have been designed to </w:t>
      </w:r>
      <w:r w:rsidR="04E54833" w:rsidRPr="203EBF40">
        <w:rPr>
          <w:rFonts w:eastAsia="Arial" w:cs="Arial"/>
        </w:rPr>
        <w:t>align to</w:t>
      </w:r>
      <w:r w:rsidRPr="203EBF40">
        <w:rPr>
          <w:rFonts w:eastAsia="Arial" w:cs="Arial"/>
        </w:rPr>
        <w:t xml:space="preserve"> the UK Quality Code for Higher Education </w:t>
      </w:r>
      <w:r w:rsidR="7DD4F09C" w:rsidRPr="00265D0A">
        <w:rPr>
          <w:rFonts w:eastAsia="Arial" w:cs="Arial"/>
          <w:lang w:val="en-GB"/>
        </w:rPr>
        <w:t>and to support the University in meeting the 12 Sector Agreed Principles set out within it.</w:t>
      </w:r>
      <w:r w:rsidR="7D17D5E2" w:rsidRPr="00265D0A">
        <w:rPr>
          <w:rFonts w:eastAsia="Arial" w:cs="Arial"/>
        </w:rPr>
        <w:t xml:space="preserve"> They also </w:t>
      </w:r>
      <w:r w:rsidRPr="00265D0A">
        <w:rPr>
          <w:rFonts w:eastAsia="Arial" w:cs="Arial"/>
        </w:rPr>
        <w:t>take account of a number of guiding principles set out</w:t>
      </w:r>
      <w:r w:rsidRPr="203EBF40">
        <w:rPr>
          <w:rFonts w:eastAsia="Arial" w:cs="Arial"/>
        </w:rPr>
        <w:t xml:space="preserve"> within the accompanying Advice and Guidance sections.</w:t>
      </w:r>
      <w:r w:rsidRPr="203EBF40">
        <w:rPr>
          <w:rFonts w:eastAsia="Calibri" w:cs="Arial"/>
          <w:lang w:val="en-GB"/>
        </w:rPr>
        <w:t xml:space="preserve"> </w:t>
      </w:r>
    </w:p>
    <w:p w14:paraId="72FDF669" w14:textId="0275963E" w:rsidR="40F60083" w:rsidRPr="006B720B" w:rsidRDefault="00676EC3" w:rsidP="00845806">
      <w:pPr>
        <w:spacing w:before="120" w:after="120"/>
        <w:ind w:left="567"/>
        <w:rPr>
          <w:rFonts w:eastAsia="Arial" w:cs="Arial"/>
          <w:lang w:val="en-GB"/>
        </w:rPr>
      </w:pPr>
      <w:r w:rsidRPr="203EBF40">
        <w:rPr>
          <w:rFonts w:eastAsia="Calibri" w:cs="Arial"/>
          <w:lang w:val="en-GB"/>
        </w:rPr>
        <w:t xml:space="preserve">Individuals involved in the design, development, approval, delivery, monitoring or review of taught award or credit-bearing provision delivered in partnership need to take full account of </w:t>
      </w:r>
      <w:r w:rsidR="40F60083" w:rsidRPr="006B720B">
        <w:rPr>
          <w:rFonts w:eastAsia="Arial" w:cs="Arial"/>
          <w:lang w:val="en-GB"/>
        </w:rPr>
        <w:t>Curriculum Management: Development, Approval, Change &amp; Withdrawal </w:t>
      </w:r>
    </w:p>
    <w:p w14:paraId="33392B72" w14:textId="4C84008C" w:rsidR="40F60083" w:rsidRDefault="40F60083" w:rsidP="00845806">
      <w:pPr>
        <w:pStyle w:val="ListParagraph"/>
        <w:numPr>
          <w:ilvl w:val="0"/>
          <w:numId w:val="2"/>
        </w:numPr>
        <w:spacing w:before="120" w:after="120" w:line="360" w:lineRule="auto"/>
      </w:pPr>
      <w:r w:rsidRPr="203EBF40">
        <w:rPr>
          <w:rFonts w:eastAsia="Arial" w:cs="Arial"/>
          <w:color w:val="000000" w:themeColor="text1"/>
          <w:sz w:val="24"/>
          <w:szCs w:val="24"/>
        </w:rPr>
        <w:t>Individuals involved in the design and development of such provision are encouraged to contact the appropriate the Head of International within their School, and appropriate members of the Quality &amp; Standards team and</w:t>
      </w:r>
      <w:r w:rsidRPr="004A0F0D">
        <w:rPr>
          <w:rFonts w:eastAsia="Arial" w:cs="Arial"/>
          <w:sz w:val="24"/>
          <w:szCs w:val="24"/>
        </w:rPr>
        <w:t xml:space="preserve"> TNE and Global Online Operations Team for advice and to ensure their prop</w:t>
      </w:r>
      <w:r w:rsidRPr="203EBF40">
        <w:rPr>
          <w:rFonts w:eastAsia="Arial" w:cs="Arial"/>
          <w:color w:val="000000" w:themeColor="text1"/>
          <w:sz w:val="24"/>
          <w:szCs w:val="24"/>
        </w:rPr>
        <w:t>osal meets the expectations of University strategy and all related quality guidance.</w:t>
      </w:r>
    </w:p>
    <w:p w14:paraId="71A84AF0" w14:textId="67B51A41" w:rsidR="203EBF40" w:rsidRDefault="203EBF40" w:rsidP="00845806">
      <w:pPr>
        <w:pStyle w:val="ListParagraph"/>
        <w:spacing w:before="120" w:after="120" w:line="360" w:lineRule="auto"/>
        <w:rPr>
          <w:rFonts w:eastAsia="Arial" w:cs="Arial"/>
          <w:color w:val="D13438"/>
          <w:sz w:val="24"/>
          <w:szCs w:val="24"/>
          <w:u w:val="single"/>
        </w:rPr>
      </w:pPr>
    </w:p>
    <w:p w14:paraId="7E55F0B1" w14:textId="77777777" w:rsidR="00676EC3" w:rsidRPr="00676EC3" w:rsidRDefault="00676EC3" w:rsidP="00845806">
      <w:pPr>
        <w:pStyle w:val="Heading1"/>
        <w:spacing w:line="360" w:lineRule="auto"/>
      </w:pPr>
      <w:bookmarkStart w:id="2" w:name="_Toc392687116"/>
      <w:bookmarkStart w:id="3" w:name="_Toc401304609"/>
      <w:bookmarkStart w:id="4" w:name="_Toc492462825"/>
      <w:r w:rsidRPr="00676EC3">
        <w:t>Outline of the procedure</w:t>
      </w:r>
      <w:bookmarkEnd w:id="2"/>
      <w:bookmarkEnd w:id="3"/>
      <w:bookmarkEnd w:id="4"/>
    </w:p>
    <w:p w14:paraId="41FFC317" w14:textId="0CA658DD" w:rsidR="00676EC3" w:rsidRPr="00676EC3" w:rsidRDefault="2E156D9F" w:rsidP="00845806">
      <w:pPr>
        <w:numPr>
          <w:ilvl w:val="0"/>
          <w:numId w:val="2"/>
        </w:numPr>
        <w:tabs>
          <w:tab w:val="left" w:pos="567"/>
        </w:tabs>
        <w:spacing w:before="120" w:after="120"/>
        <w:ind w:left="567" w:hanging="567"/>
        <w:rPr>
          <w:rFonts w:eastAsia="Calibri" w:cs="Arial"/>
          <w:lang w:val="en-GB"/>
        </w:rPr>
      </w:pPr>
      <w:r w:rsidRPr="203EBF40">
        <w:rPr>
          <w:rFonts w:eastAsia="Calibri" w:cs="Arial"/>
          <w:lang w:val="en-GB"/>
        </w:rPr>
        <w:t xml:space="preserve">The </w:t>
      </w:r>
      <w:r w:rsidR="00676EC3" w:rsidRPr="203EBF40">
        <w:rPr>
          <w:rFonts w:eastAsia="Calibri" w:cs="Arial"/>
          <w:lang w:val="en-GB"/>
        </w:rPr>
        <w:t>Collaborative Provision Committee is responsible to Academic Board for ensuring that all proposals to deliver taught award or credit-bearing provision in partnership with another organisation are approved in accordance with</w:t>
      </w:r>
      <w:r w:rsidR="2C63CB1E" w:rsidRPr="203EBF40">
        <w:rPr>
          <w:rFonts w:eastAsia="Calibri" w:cs="Arial"/>
          <w:lang w:val="en-GB"/>
        </w:rPr>
        <w:t xml:space="preserve"> these</w:t>
      </w:r>
      <w:r w:rsidR="00676EC3" w:rsidRPr="203EBF40">
        <w:rPr>
          <w:rFonts w:eastAsia="Calibri" w:cs="Arial"/>
          <w:lang w:val="en-GB"/>
        </w:rPr>
        <w:t xml:space="preserve"> procedure</w:t>
      </w:r>
      <w:r w:rsidR="1A9C1106" w:rsidRPr="203EBF40">
        <w:rPr>
          <w:rFonts w:eastAsia="Calibri" w:cs="Arial"/>
          <w:lang w:val="en-GB"/>
        </w:rPr>
        <w:t>s.</w:t>
      </w:r>
    </w:p>
    <w:p w14:paraId="0BEC2EE3" w14:textId="4452EAB3" w:rsidR="00676EC3" w:rsidRPr="00676EC3" w:rsidRDefault="00676EC3" w:rsidP="00845806">
      <w:pPr>
        <w:numPr>
          <w:ilvl w:val="0"/>
          <w:numId w:val="2"/>
        </w:numPr>
        <w:tabs>
          <w:tab w:val="left" w:pos="567"/>
        </w:tabs>
        <w:spacing w:before="120" w:after="120"/>
        <w:ind w:left="567" w:hanging="567"/>
        <w:rPr>
          <w:rFonts w:eastAsia="Calibri" w:cs="Arial"/>
          <w:lang w:val="en-GB"/>
        </w:rPr>
      </w:pPr>
      <w:r w:rsidRPr="203EBF40">
        <w:rPr>
          <w:rFonts w:eastAsia="Calibri" w:cs="Arial"/>
          <w:lang w:val="en-GB"/>
        </w:rPr>
        <w:t xml:space="preserve">The approval process has </w:t>
      </w:r>
      <w:r w:rsidR="6E53FBB2" w:rsidRPr="203EBF40">
        <w:rPr>
          <w:rFonts w:eastAsia="Calibri" w:cs="Arial"/>
          <w:lang w:val="en-GB"/>
        </w:rPr>
        <w:t>eight</w:t>
      </w:r>
      <w:r w:rsidRPr="203EBF40">
        <w:rPr>
          <w:rFonts w:eastAsia="Calibri" w:cs="Arial"/>
          <w:lang w:val="en-GB"/>
        </w:rPr>
        <w:t xml:space="preserve"> distinct stages:</w:t>
      </w:r>
    </w:p>
    <w:p w14:paraId="7ECF72A8" w14:textId="0C634D1D" w:rsidR="00676EC3" w:rsidRPr="00676EC3" w:rsidRDefault="00676EC3" w:rsidP="00845806">
      <w:pPr>
        <w:numPr>
          <w:ilvl w:val="0"/>
          <w:numId w:val="1"/>
        </w:numPr>
        <w:spacing w:before="120" w:after="120"/>
        <w:ind w:left="1134" w:hanging="567"/>
        <w:rPr>
          <w:rFonts w:eastAsia="Calibri" w:cs="Arial"/>
          <w:lang w:val="en-GB"/>
        </w:rPr>
      </w:pPr>
      <w:r w:rsidRPr="203EBF40">
        <w:rPr>
          <w:rFonts w:eastAsia="Calibri" w:cs="Arial"/>
          <w:b/>
          <w:bCs/>
          <w:lang w:val="en-GB"/>
        </w:rPr>
        <w:lastRenderedPageBreak/>
        <w:t>Early consideration</w:t>
      </w:r>
      <w:r w:rsidRPr="203EBF40">
        <w:rPr>
          <w:rFonts w:eastAsia="Calibri" w:cs="Arial"/>
          <w:lang w:val="en-GB"/>
        </w:rPr>
        <w:t xml:space="preserve"> - undertaken by school staff and signed-off by a Dean of School using </w:t>
      </w:r>
      <w:r w:rsidR="45DF9BE2" w:rsidRPr="203EBF40">
        <w:rPr>
          <w:rFonts w:eastAsia="Calibri" w:cs="Arial"/>
          <w:lang w:val="en-GB"/>
        </w:rPr>
        <w:t xml:space="preserve">the </w:t>
      </w:r>
      <w:r w:rsidRPr="203EBF40">
        <w:rPr>
          <w:rFonts w:eastAsia="Calibri" w:cs="Arial"/>
          <w:lang w:val="en-GB"/>
        </w:rPr>
        <w:t>CPC0</w:t>
      </w:r>
      <w:r w:rsidR="2D23F074" w:rsidRPr="203EBF40">
        <w:rPr>
          <w:rFonts w:eastAsia="Calibri" w:cs="Arial"/>
          <w:lang w:val="en-GB"/>
        </w:rPr>
        <w:t xml:space="preserve"> proforma</w:t>
      </w:r>
      <w:r w:rsidRPr="203EBF40">
        <w:rPr>
          <w:rFonts w:eastAsia="Calibri" w:cs="Arial"/>
          <w:lang w:val="en-GB"/>
        </w:rPr>
        <w:t xml:space="preserve">. The Collaborative Provision Committee formally </w:t>
      </w:r>
      <w:r w:rsidR="00A33CB5" w:rsidRPr="203EBF40">
        <w:rPr>
          <w:rFonts w:eastAsia="Calibri" w:cs="Arial"/>
          <w:lang w:val="en-GB"/>
        </w:rPr>
        <w:t xml:space="preserve">notes the </w:t>
      </w:r>
      <w:r w:rsidRPr="203EBF40">
        <w:rPr>
          <w:rFonts w:eastAsia="Calibri" w:cs="Arial"/>
          <w:lang w:val="en-GB"/>
        </w:rPr>
        <w:t>CPC0</w:t>
      </w:r>
    </w:p>
    <w:p w14:paraId="4E4FE7BE" w14:textId="70C32919" w:rsidR="00676EC3" w:rsidRPr="00676EC3" w:rsidRDefault="11D89257" w:rsidP="00845806">
      <w:pPr>
        <w:numPr>
          <w:ilvl w:val="0"/>
          <w:numId w:val="1"/>
        </w:numPr>
        <w:spacing w:before="120" w:after="120"/>
        <w:ind w:left="1134" w:hanging="567"/>
        <w:rPr>
          <w:rFonts w:eastAsiaTheme="minorEastAsia"/>
          <w:b/>
          <w:bCs/>
          <w:lang w:val="en-GB"/>
        </w:rPr>
      </w:pPr>
      <w:r w:rsidRPr="203EBF40">
        <w:rPr>
          <w:rFonts w:eastAsia="Calibri" w:cs="Arial"/>
          <w:b/>
          <w:bCs/>
          <w:lang w:val="en-GB"/>
        </w:rPr>
        <w:t>Developing the proposal</w:t>
      </w:r>
      <w:r w:rsidRPr="203EBF40">
        <w:rPr>
          <w:rFonts w:eastAsia="Calibri" w:cs="Arial"/>
          <w:lang w:val="en-GB"/>
        </w:rPr>
        <w:t xml:space="preserve"> - undertaken by school staff and signed-off by a Dean of School using </w:t>
      </w:r>
      <w:r w:rsidR="6640DBEC" w:rsidRPr="203EBF40">
        <w:rPr>
          <w:rFonts w:eastAsia="Calibri" w:cs="Arial"/>
          <w:lang w:val="en-GB"/>
        </w:rPr>
        <w:t xml:space="preserve">the </w:t>
      </w:r>
      <w:r w:rsidRPr="203EBF40">
        <w:rPr>
          <w:rFonts w:eastAsia="Calibri" w:cs="Arial"/>
          <w:lang w:val="en-GB"/>
        </w:rPr>
        <w:t>CPC1</w:t>
      </w:r>
      <w:r w:rsidR="7CDED47E" w:rsidRPr="203EBF40">
        <w:rPr>
          <w:rFonts w:eastAsia="Calibri" w:cs="Arial"/>
          <w:lang w:val="en-GB"/>
        </w:rPr>
        <w:t xml:space="preserve"> proforma</w:t>
      </w:r>
      <w:r w:rsidRPr="203EBF40">
        <w:rPr>
          <w:rFonts w:eastAsia="Calibri" w:cs="Arial"/>
          <w:lang w:val="en-GB"/>
        </w:rPr>
        <w:t xml:space="preserve">. The Collaborative Provision Committee </w:t>
      </w:r>
      <w:r w:rsidR="02F5EE25" w:rsidRPr="203EBF40">
        <w:rPr>
          <w:rFonts w:eastAsia="Calibri" w:cs="Arial"/>
          <w:lang w:val="en-GB"/>
        </w:rPr>
        <w:t xml:space="preserve">formally </w:t>
      </w:r>
      <w:r w:rsidRPr="203EBF40">
        <w:rPr>
          <w:rFonts w:eastAsia="Calibri" w:cs="Arial"/>
          <w:lang w:val="en-GB"/>
        </w:rPr>
        <w:t>approves</w:t>
      </w:r>
      <w:r w:rsidR="02F5EE25" w:rsidRPr="203EBF40">
        <w:rPr>
          <w:rFonts w:eastAsia="Calibri" w:cs="Arial"/>
          <w:lang w:val="en-GB"/>
        </w:rPr>
        <w:t xml:space="preserve"> the</w:t>
      </w:r>
      <w:r w:rsidRPr="203EBF40">
        <w:rPr>
          <w:rFonts w:eastAsia="Calibri" w:cs="Arial"/>
          <w:lang w:val="en-GB"/>
        </w:rPr>
        <w:t xml:space="preserve"> CPC1.</w:t>
      </w:r>
    </w:p>
    <w:p w14:paraId="5E46ED40" w14:textId="6962FADB" w:rsidR="00676EC3" w:rsidRPr="00676EC3" w:rsidRDefault="11D89257" w:rsidP="00845806">
      <w:pPr>
        <w:numPr>
          <w:ilvl w:val="0"/>
          <w:numId w:val="1"/>
        </w:numPr>
        <w:spacing w:before="120" w:after="120"/>
        <w:ind w:left="1134" w:hanging="567"/>
        <w:rPr>
          <w:rFonts w:eastAsiaTheme="minorEastAsia"/>
          <w:b/>
          <w:bCs/>
          <w:lang w:val="en-GB"/>
        </w:rPr>
      </w:pPr>
      <w:r w:rsidRPr="6F6E3C3D">
        <w:rPr>
          <w:rFonts w:eastAsia="Calibri" w:cs="Arial"/>
          <w:b/>
          <w:bCs/>
          <w:lang w:val="en-GB"/>
        </w:rPr>
        <w:t>Due diligence scrutiny</w:t>
      </w:r>
      <w:r w:rsidRPr="6F6E3C3D">
        <w:rPr>
          <w:rFonts w:eastAsia="Calibri" w:cs="Arial"/>
          <w:lang w:val="en-GB"/>
        </w:rPr>
        <w:t xml:space="preserve"> - a two-stage process involving the completion of a due diligence scrutiny on the financial and reputational standing of the proposed partner undertaken by professional service staff.</w:t>
      </w:r>
    </w:p>
    <w:p w14:paraId="6400E860" w14:textId="1D38F4EA" w:rsidR="00676EC3" w:rsidRPr="00676EC3" w:rsidRDefault="11D89257" w:rsidP="00845806">
      <w:pPr>
        <w:numPr>
          <w:ilvl w:val="0"/>
          <w:numId w:val="1"/>
        </w:numPr>
        <w:spacing w:before="120" w:after="120"/>
        <w:ind w:left="1134" w:hanging="567"/>
        <w:rPr>
          <w:rFonts w:eastAsiaTheme="minorEastAsia"/>
          <w:b/>
          <w:bCs/>
          <w:lang w:val="en-GB"/>
        </w:rPr>
      </w:pPr>
      <w:r w:rsidRPr="203EBF40">
        <w:rPr>
          <w:rFonts w:eastAsia="Calibri" w:cs="Arial"/>
          <w:b/>
          <w:bCs/>
          <w:lang w:val="en-GB"/>
        </w:rPr>
        <w:t xml:space="preserve">Partner visit </w:t>
      </w:r>
      <w:r w:rsidR="20C87B55" w:rsidRPr="203EBF40">
        <w:rPr>
          <w:rFonts w:eastAsia="Calibri" w:cs="Arial"/>
          <w:lang w:val="en-GB"/>
        </w:rPr>
        <w:t>– undertaken by a</w:t>
      </w:r>
      <w:r w:rsidRPr="203EBF40">
        <w:rPr>
          <w:rFonts w:eastAsia="Calibri" w:cs="Arial"/>
          <w:lang w:val="en-GB"/>
        </w:rPr>
        <w:t xml:space="preserve"> member of staff</w:t>
      </w:r>
      <w:r w:rsidR="20C87B55" w:rsidRPr="203EBF40">
        <w:rPr>
          <w:rFonts w:eastAsia="Calibri" w:cs="Arial"/>
          <w:lang w:val="en-GB"/>
        </w:rPr>
        <w:t>, who is normally</w:t>
      </w:r>
      <w:r w:rsidRPr="203EBF40">
        <w:rPr>
          <w:rFonts w:eastAsia="Calibri" w:cs="Arial"/>
          <w:lang w:val="en-GB"/>
        </w:rPr>
        <w:t xml:space="preserve"> academic</w:t>
      </w:r>
      <w:r w:rsidR="20C87B55" w:rsidRPr="203EBF40">
        <w:rPr>
          <w:rFonts w:eastAsia="Calibri" w:cs="Arial"/>
          <w:lang w:val="en-GB"/>
        </w:rPr>
        <w:t>,</w:t>
      </w:r>
      <w:r w:rsidR="69964298" w:rsidRPr="004A0F0D">
        <w:rPr>
          <w:rFonts w:eastAsia="Arial" w:cs="Arial"/>
          <w:lang w:val="en-GB"/>
        </w:rPr>
        <w:t xml:space="preserve"> and independent of the proposed provision and partnership,</w:t>
      </w:r>
      <w:r w:rsidRPr="004A0F0D">
        <w:rPr>
          <w:rFonts w:eastAsia="Calibri" w:cs="Arial"/>
          <w:lang w:val="en-GB"/>
        </w:rPr>
        <w:t xml:space="preserve"> </w:t>
      </w:r>
      <w:r w:rsidRPr="203EBF40">
        <w:rPr>
          <w:rFonts w:eastAsia="Calibri" w:cs="Arial"/>
          <w:lang w:val="en-GB"/>
        </w:rPr>
        <w:t>prior to approval. Normally, visits will be made to new partners or current partners when a collaborative programme is being offered in a new subject area.</w:t>
      </w:r>
    </w:p>
    <w:p w14:paraId="03806A1F" w14:textId="78450989" w:rsidR="00676EC3" w:rsidRPr="00676EC3" w:rsidRDefault="11D89257" w:rsidP="00845806">
      <w:pPr>
        <w:numPr>
          <w:ilvl w:val="0"/>
          <w:numId w:val="1"/>
        </w:numPr>
        <w:spacing w:before="120" w:after="120"/>
        <w:ind w:left="1134" w:hanging="567"/>
        <w:rPr>
          <w:rFonts w:eastAsiaTheme="minorEastAsia"/>
          <w:b/>
          <w:bCs/>
          <w:lang w:val="en-GB"/>
        </w:rPr>
      </w:pPr>
      <w:r w:rsidRPr="203EBF40">
        <w:rPr>
          <w:rFonts w:eastAsia="Calibri" w:cs="Arial"/>
          <w:b/>
          <w:bCs/>
          <w:lang w:val="en-GB"/>
        </w:rPr>
        <w:t>Business case approval</w:t>
      </w:r>
      <w:r w:rsidRPr="203EBF40">
        <w:rPr>
          <w:rFonts w:eastAsia="Calibri" w:cs="Arial"/>
          <w:lang w:val="en-GB"/>
        </w:rPr>
        <w:t xml:space="preserve"> – undertaken by Finance staff.</w:t>
      </w:r>
    </w:p>
    <w:p w14:paraId="7B3DDF50" w14:textId="21A2952F" w:rsidR="0911E27D" w:rsidRPr="004A0F0D" w:rsidRDefault="0911E27D" w:rsidP="00845806">
      <w:pPr>
        <w:numPr>
          <w:ilvl w:val="0"/>
          <w:numId w:val="1"/>
        </w:numPr>
        <w:spacing w:before="120" w:after="120"/>
        <w:ind w:left="1134" w:hanging="567"/>
        <w:rPr>
          <w:rFonts w:eastAsia="Arial" w:cs="Arial"/>
          <w:lang w:val="en-GB"/>
        </w:rPr>
      </w:pPr>
      <w:r w:rsidRPr="00845806">
        <w:rPr>
          <w:rFonts w:eastAsia="Arial" w:cs="Arial"/>
          <w:b/>
          <w:bCs/>
          <w:lang w:val="en-GB"/>
        </w:rPr>
        <w:t xml:space="preserve">Development of the Collaborative Agreement </w:t>
      </w:r>
      <w:r w:rsidRPr="00845806">
        <w:rPr>
          <w:rFonts w:eastAsia="Arial" w:cs="Arial"/>
          <w:lang w:val="en-GB"/>
        </w:rPr>
        <w:t>– undertaken by the</w:t>
      </w:r>
      <w:r w:rsidRPr="00845806">
        <w:rPr>
          <w:rFonts w:eastAsia="Arial" w:cs="Arial"/>
          <w:b/>
          <w:bCs/>
          <w:lang w:val="en-GB"/>
        </w:rPr>
        <w:t xml:space="preserve"> </w:t>
      </w:r>
      <w:r w:rsidRPr="004A0F0D">
        <w:rPr>
          <w:rFonts w:eastAsia="Arial" w:cs="Arial"/>
          <w:lang w:val="en-GB"/>
        </w:rPr>
        <w:t>TNE and Global Online Operations Team</w:t>
      </w:r>
    </w:p>
    <w:p w14:paraId="51288AA2" w14:textId="15C55A83" w:rsidR="00676EC3" w:rsidRPr="00676EC3" w:rsidRDefault="11D89257" w:rsidP="00845806">
      <w:pPr>
        <w:numPr>
          <w:ilvl w:val="0"/>
          <w:numId w:val="1"/>
        </w:numPr>
        <w:spacing w:before="120" w:after="120"/>
        <w:ind w:left="1134" w:hanging="567"/>
        <w:rPr>
          <w:rFonts w:eastAsia="Arial" w:cs="Arial"/>
          <w:lang w:val="en-GB"/>
        </w:rPr>
      </w:pPr>
      <w:r w:rsidRPr="203EBF40">
        <w:rPr>
          <w:rFonts w:eastAsia="Calibri" w:cs="Arial"/>
          <w:b/>
          <w:bCs/>
          <w:lang w:val="en-GB"/>
        </w:rPr>
        <w:t>Academic approval</w:t>
      </w:r>
      <w:r w:rsidRPr="203EBF40">
        <w:rPr>
          <w:rFonts w:eastAsia="Calibri" w:cs="Arial"/>
          <w:lang w:val="en-GB"/>
        </w:rPr>
        <w:t xml:space="preserve"> – undertaken by an independent panel which includes scrutiny from internal and external peers.</w:t>
      </w:r>
      <w:r w:rsidR="3E2DA98C" w:rsidRPr="203EBF40">
        <w:rPr>
          <w:rFonts w:eastAsia="Arial" w:cs="Arial"/>
          <w:color w:val="000000" w:themeColor="text1"/>
          <w:lang w:val="en-GB"/>
        </w:rPr>
        <w:t xml:space="preserve"> The approval event is organised by the Clerk to Collaborative Provision Committee</w:t>
      </w:r>
    </w:p>
    <w:p w14:paraId="15A60629" w14:textId="26CBED51" w:rsidR="00676EC3" w:rsidRPr="00676EC3" w:rsidRDefault="11D89257" w:rsidP="00845806">
      <w:pPr>
        <w:numPr>
          <w:ilvl w:val="0"/>
          <w:numId w:val="1"/>
        </w:numPr>
        <w:spacing w:before="120" w:after="120"/>
        <w:ind w:left="1134" w:hanging="567"/>
        <w:rPr>
          <w:b/>
          <w:bCs/>
          <w:lang w:val="en-GB"/>
        </w:rPr>
      </w:pPr>
      <w:r w:rsidRPr="203EBF40">
        <w:rPr>
          <w:rFonts w:eastAsia="Calibri" w:cs="Arial"/>
          <w:b/>
          <w:bCs/>
          <w:lang w:val="en-GB"/>
        </w:rPr>
        <w:t>Signing the collaborative agreement</w:t>
      </w:r>
      <w:r w:rsidRPr="203EBF40">
        <w:rPr>
          <w:rFonts w:eastAsia="Calibri" w:cs="Arial"/>
          <w:lang w:val="en-GB"/>
        </w:rPr>
        <w:t xml:space="preserve"> – the process is complete once the Principal, the University Secretary and head of the partner organisation, sign the collaborative agreement. Students cannot be offered a place on the programme until</w:t>
      </w:r>
      <w:r w:rsidR="6E10DC95" w:rsidRPr="203EBF40">
        <w:rPr>
          <w:rFonts w:eastAsia="Calibri" w:cs="Arial"/>
          <w:lang w:val="en-GB"/>
        </w:rPr>
        <w:t xml:space="preserve"> all conditions of approval have been met and</w:t>
      </w:r>
      <w:r w:rsidRPr="203EBF40">
        <w:rPr>
          <w:rFonts w:eastAsia="Calibri" w:cs="Arial"/>
          <w:lang w:val="en-GB"/>
        </w:rPr>
        <w:t xml:space="preserve"> the agreement has been signed by both parties.</w:t>
      </w:r>
    </w:p>
    <w:p w14:paraId="1D47197B" w14:textId="53DEF562" w:rsidR="00676EC3" w:rsidRDefault="00676EC3" w:rsidP="00845806">
      <w:pPr>
        <w:numPr>
          <w:ilvl w:val="0"/>
          <w:numId w:val="2"/>
        </w:numPr>
        <w:spacing w:before="120" w:after="120"/>
        <w:ind w:left="567" w:hanging="567"/>
        <w:rPr>
          <w:rFonts w:eastAsia="Calibri" w:cs="Arial"/>
          <w:lang w:val="en-GB"/>
        </w:rPr>
      </w:pPr>
      <w:r w:rsidRPr="203EBF40">
        <w:rPr>
          <w:rFonts w:eastAsia="Calibri" w:cs="Arial"/>
          <w:lang w:val="en-GB"/>
        </w:rPr>
        <w:t xml:space="preserve">While the development of each stage can be undertaken concurrently the academic approval cannot take place until the Collaborative Provision Committee has received </w:t>
      </w:r>
      <w:r w:rsidR="52BAB5C1" w:rsidRPr="203EBF40">
        <w:rPr>
          <w:rFonts w:eastAsia="Calibri" w:cs="Arial"/>
          <w:lang w:val="en-GB"/>
        </w:rPr>
        <w:t xml:space="preserve">and approved </w:t>
      </w:r>
      <w:r w:rsidRPr="203EBF40">
        <w:rPr>
          <w:rFonts w:eastAsia="Calibri" w:cs="Arial"/>
          <w:lang w:val="en-GB"/>
        </w:rPr>
        <w:t>the reports on the outcome of the due diligence scrutiny</w:t>
      </w:r>
      <w:r w:rsidR="2F55E5AD" w:rsidRPr="203EBF40">
        <w:rPr>
          <w:rFonts w:eastAsia="Calibri" w:cs="Arial"/>
          <w:lang w:val="en-GB"/>
        </w:rPr>
        <w:t>, the partner visit report (CPC7)</w:t>
      </w:r>
      <w:r w:rsidRPr="203EBF40">
        <w:rPr>
          <w:rFonts w:eastAsia="Calibri" w:cs="Arial"/>
          <w:lang w:val="en-GB"/>
        </w:rPr>
        <w:t xml:space="preserve"> and confirm</w:t>
      </w:r>
      <w:r w:rsidR="7379B984" w:rsidRPr="203EBF40">
        <w:rPr>
          <w:rFonts w:eastAsia="Calibri" w:cs="Arial"/>
          <w:lang w:val="en-GB"/>
        </w:rPr>
        <w:t>ed</w:t>
      </w:r>
      <w:r w:rsidRPr="203EBF40">
        <w:rPr>
          <w:rFonts w:eastAsia="Calibri" w:cs="Arial"/>
          <w:lang w:val="en-GB"/>
        </w:rPr>
        <w:t xml:space="preserve"> that the business case has been approved.</w:t>
      </w:r>
    </w:p>
    <w:p w14:paraId="234DB106" w14:textId="77777777" w:rsidR="008A1DD7" w:rsidRPr="00676EC3" w:rsidRDefault="008A1DD7" w:rsidP="00845806">
      <w:pPr>
        <w:spacing w:before="120" w:after="120"/>
        <w:ind w:left="567"/>
        <w:rPr>
          <w:rFonts w:eastAsia="Calibri" w:cs="Arial"/>
          <w:lang w:val="en-GB"/>
        </w:rPr>
      </w:pPr>
    </w:p>
    <w:p w14:paraId="62DB7729" w14:textId="77777777" w:rsidR="00676EC3" w:rsidRPr="00676EC3" w:rsidRDefault="00676EC3" w:rsidP="00845806">
      <w:pPr>
        <w:pStyle w:val="Heading1"/>
        <w:spacing w:line="360" w:lineRule="auto"/>
      </w:pPr>
      <w:bookmarkStart w:id="5" w:name="_Toc492462826"/>
      <w:r w:rsidRPr="00676EC3">
        <w:lastRenderedPageBreak/>
        <w:t>Monitoring and review of taught award or credit-bearing provision delivered in partnership with another organisation</w:t>
      </w:r>
      <w:bookmarkEnd w:id="5"/>
    </w:p>
    <w:p w14:paraId="1877425A" w14:textId="3EDAC679" w:rsidR="00676EC3" w:rsidRPr="00676EC3" w:rsidRDefault="00676EC3" w:rsidP="00845806">
      <w:pPr>
        <w:numPr>
          <w:ilvl w:val="0"/>
          <w:numId w:val="2"/>
        </w:numPr>
        <w:spacing w:before="120" w:after="120"/>
        <w:ind w:left="567" w:hanging="567"/>
        <w:rPr>
          <w:rFonts w:eastAsia="Calibri" w:cs="Arial"/>
          <w:lang w:val="en-GB"/>
        </w:rPr>
      </w:pPr>
      <w:r w:rsidRPr="3527DB35">
        <w:rPr>
          <w:rFonts w:eastAsia="Calibri" w:cs="Arial"/>
          <w:lang w:val="en-GB"/>
        </w:rPr>
        <w:t xml:space="preserve">Monitoring the effectiveness of provision delivered in partnership with another organisation mirrors the process used to monitor the effectiveness of all taught credit-bearing modules and taught award or credit-bearing programmes delivered by the University in accordance with </w:t>
      </w:r>
      <w:hyperlink r:id="rId14">
        <w:r w:rsidRPr="3527DB35">
          <w:rPr>
            <w:rStyle w:val="Hyperlink"/>
            <w:rFonts w:eastAsia="Calibri" w:cs="Arial"/>
            <w:color w:val="0000FF"/>
            <w:lang w:val="en-GB"/>
          </w:rPr>
          <w:t>Quality Framework Section 2: Internal monitoring and review of taught award or credit-bearing provision</w:t>
        </w:r>
      </w:hyperlink>
      <w:r w:rsidRPr="3527DB35">
        <w:rPr>
          <w:rFonts w:eastAsia="Calibri" w:cs="Arial"/>
          <w:lang w:val="en-GB"/>
        </w:rPr>
        <w:t xml:space="preserve">. </w:t>
      </w:r>
    </w:p>
    <w:p w14:paraId="32394419" w14:textId="1059FC96" w:rsidR="00676EC3" w:rsidRPr="004A0F0D" w:rsidRDefault="11D89257" w:rsidP="00845806">
      <w:pPr>
        <w:numPr>
          <w:ilvl w:val="0"/>
          <w:numId w:val="2"/>
        </w:numPr>
        <w:spacing w:before="120" w:after="120"/>
        <w:ind w:left="567" w:hanging="567"/>
        <w:rPr>
          <w:rFonts w:eastAsia="Arial" w:cs="Arial"/>
          <w:lang w:val="en-GB"/>
        </w:rPr>
      </w:pPr>
      <w:r w:rsidRPr="203EBF40">
        <w:rPr>
          <w:rFonts w:eastAsia="Calibri" w:cs="Arial"/>
          <w:lang w:val="en-GB"/>
        </w:rPr>
        <w:t>In addition to being reviewed as part of the University’s scheduled peer review activities which run over independent</w:t>
      </w:r>
      <w:r w:rsidR="579CF4B1" w:rsidRPr="203EBF40">
        <w:rPr>
          <w:rFonts w:eastAsia="Calibri" w:cs="Arial"/>
          <w:lang w:val="en-GB"/>
        </w:rPr>
        <w:t xml:space="preserve"> 6</w:t>
      </w:r>
      <w:r w:rsidRPr="203EBF40">
        <w:rPr>
          <w:rFonts w:eastAsia="Calibri" w:cs="Arial"/>
          <w:lang w:val="en-GB"/>
        </w:rPr>
        <w:t>-year cycles, all taught award or credit-bearing provision delivered in partnership with another organisation will be scrutinised by a review panel</w:t>
      </w:r>
      <w:r w:rsidR="4F7A0BED" w:rsidRPr="203EBF40">
        <w:rPr>
          <w:rFonts w:eastAsia="Calibri" w:cs="Arial"/>
          <w:lang w:val="en-GB"/>
        </w:rPr>
        <w:t>,</w:t>
      </w:r>
      <w:r w:rsidRPr="203EBF40">
        <w:rPr>
          <w:rFonts w:eastAsia="Calibri" w:cs="Arial"/>
          <w:lang w:val="en-GB"/>
        </w:rPr>
        <w:t xml:space="preserve"> </w:t>
      </w:r>
      <w:r w:rsidR="14493FFF" w:rsidRPr="203EBF40">
        <w:rPr>
          <w:rFonts w:eastAsia="Calibri" w:cs="Arial"/>
          <w:lang w:val="en-GB"/>
        </w:rPr>
        <w:t>independent of the parent School</w:t>
      </w:r>
      <w:r w:rsidR="08A57D87" w:rsidRPr="203EBF40">
        <w:rPr>
          <w:rFonts w:eastAsia="Calibri" w:cs="Arial"/>
          <w:lang w:val="en-GB"/>
        </w:rPr>
        <w:t>,</w:t>
      </w:r>
      <w:r w:rsidR="14493FFF" w:rsidRPr="203EBF40">
        <w:rPr>
          <w:rFonts w:eastAsia="Calibri" w:cs="Arial"/>
          <w:lang w:val="en-GB"/>
        </w:rPr>
        <w:t xml:space="preserve"> </w:t>
      </w:r>
      <w:r w:rsidRPr="203EBF40">
        <w:rPr>
          <w:rFonts w:eastAsia="Calibri" w:cs="Arial"/>
          <w:lang w:val="en-GB"/>
        </w:rPr>
        <w:t xml:space="preserve">between 15 to 18 months after the first student cohort has enrolled. </w:t>
      </w:r>
      <w:r w:rsidR="59E5DAE8" w:rsidRPr="004A0F0D">
        <w:rPr>
          <w:rFonts w:eastAsia="Arial" w:cs="Arial"/>
          <w:lang w:val="en-GB"/>
        </w:rPr>
        <w:t>The review is organised by the Clerk to Collaborative Provision Committee</w:t>
      </w:r>
    </w:p>
    <w:p w14:paraId="70FC3A19" w14:textId="41DA4C5D" w:rsidR="00676EC3" w:rsidRPr="00676EC3" w:rsidRDefault="00676EC3" w:rsidP="00845806">
      <w:pPr>
        <w:numPr>
          <w:ilvl w:val="0"/>
          <w:numId w:val="2"/>
        </w:numPr>
        <w:spacing w:before="120" w:after="120"/>
        <w:ind w:left="567" w:hanging="567"/>
        <w:rPr>
          <w:rFonts w:eastAsia="Arial" w:cs="Arial"/>
          <w:lang w:val="en-GB"/>
        </w:rPr>
      </w:pPr>
      <w:r w:rsidRPr="203EBF40">
        <w:rPr>
          <w:rFonts w:eastAsia="Calibri" w:cs="Arial"/>
          <w:lang w:val="en-GB"/>
        </w:rPr>
        <w:t>The formal signed agreements with all partner organisations will be subject to formal review five years after the original signing date.</w:t>
      </w:r>
      <w:r w:rsidRPr="00004729">
        <w:rPr>
          <w:rFonts w:eastAsia="Calibri" w:cs="Arial"/>
          <w:lang w:val="en-GB"/>
        </w:rPr>
        <w:t xml:space="preserve"> </w:t>
      </w:r>
      <w:r w:rsidR="572AA339" w:rsidRPr="00004729">
        <w:rPr>
          <w:rFonts w:eastAsia="Arial" w:cs="Arial"/>
          <w:lang w:val="en-GB"/>
        </w:rPr>
        <w:t>For franchise partnerships, formal review will normally take place after 7 years.</w:t>
      </w:r>
      <w:r w:rsidR="572AA339" w:rsidRPr="00004729">
        <w:rPr>
          <w:rFonts w:eastAsia="Arial" w:cs="Arial"/>
          <w:strike/>
          <w:lang w:val="en-GB"/>
        </w:rPr>
        <w:t xml:space="preserve"> </w:t>
      </w:r>
    </w:p>
    <w:p w14:paraId="1698F1A9" w14:textId="14A9059E" w:rsidR="00676EC3" w:rsidRPr="00004729" w:rsidRDefault="572AA339" w:rsidP="00845806">
      <w:pPr>
        <w:numPr>
          <w:ilvl w:val="0"/>
          <w:numId w:val="2"/>
        </w:numPr>
        <w:spacing w:before="120" w:after="120"/>
        <w:ind w:left="567" w:hanging="567"/>
        <w:rPr>
          <w:rFonts w:eastAsia="Arial" w:cs="Arial"/>
          <w:lang w:val="en-GB"/>
        </w:rPr>
      </w:pPr>
      <w:r w:rsidRPr="00004729">
        <w:rPr>
          <w:rFonts w:eastAsia="Arial" w:cs="Arial"/>
          <w:lang w:val="en-GB"/>
        </w:rPr>
        <w:t xml:space="preserve">TNE and Global Online Operations team retains the original completed agreements with all partner organisations and maintains records which set out when agreements are due for review. </w:t>
      </w:r>
    </w:p>
    <w:p w14:paraId="0736963F" w14:textId="77777777" w:rsidR="00845806" w:rsidRPr="00676EC3" w:rsidRDefault="00845806" w:rsidP="00845806">
      <w:pPr>
        <w:spacing w:before="120" w:after="120"/>
        <w:rPr>
          <w:rFonts w:eastAsia="Arial" w:cs="Arial"/>
          <w:lang w:val="en-GB"/>
        </w:rPr>
      </w:pPr>
    </w:p>
    <w:p w14:paraId="41A5D49E" w14:textId="0127744A" w:rsidR="00676EC3" w:rsidRPr="00676EC3" w:rsidRDefault="11D89257" w:rsidP="00845806">
      <w:pPr>
        <w:pStyle w:val="Heading1"/>
        <w:spacing w:after="120" w:line="360" w:lineRule="auto"/>
        <w:rPr>
          <w:rFonts w:eastAsia="Calibri"/>
          <w:sz w:val="20"/>
          <w:szCs w:val="20"/>
        </w:rPr>
      </w:pPr>
      <w:bookmarkStart w:id="6" w:name="_Toc429137094"/>
      <w:bookmarkStart w:id="7" w:name="_Toc429304436"/>
      <w:bookmarkStart w:id="8" w:name="_Toc492462827"/>
      <w:r>
        <w:t>Responsibilities</w:t>
      </w:r>
      <w:bookmarkEnd w:id="6"/>
      <w:bookmarkEnd w:id="7"/>
      <w:bookmarkEnd w:id="8"/>
    </w:p>
    <w:p w14:paraId="11DA864C" w14:textId="1C34A9DF" w:rsidR="00676EC3" w:rsidRDefault="00676EC3" w:rsidP="00845806">
      <w:pPr>
        <w:numPr>
          <w:ilvl w:val="0"/>
          <w:numId w:val="2"/>
        </w:numPr>
        <w:tabs>
          <w:tab w:val="left" w:pos="567"/>
        </w:tabs>
        <w:spacing w:before="120" w:after="120"/>
        <w:ind w:left="567" w:hanging="567"/>
        <w:rPr>
          <w:rFonts w:eastAsia="Calibri" w:cs="Arial"/>
          <w:lang w:val="en-GB"/>
        </w:rPr>
      </w:pPr>
      <w:bookmarkStart w:id="9" w:name="LTAC"/>
      <w:bookmarkStart w:id="10" w:name="_Toc428351783"/>
      <w:r w:rsidRPr="3527DB35">
        <w:rPr>
          <w:rFonts w:eastAsia="Calibri" w:cs="Arial"/>
          <w:lang w:val="en-GB"/>
        </w:rPr>
        <w:t xml:space="preserve">Overarching University-level responsibilities for the quality and standard of taught award or credit-bearing provision are set out in the </w:t>
      </w:r>
      <w:hyperlink r:id="rId15">
        <w:r w:rsidRPr="3527DB35">
          <w:rPr>
            <w:rStyle w:val="Hyperlink"/>
            <w:rFonts w:eastAsia="Calibri" w:cs="Arial"/>
            <w:color w:val="0000FF"/>
            <w:lang w:val="en-GB"/>
          </w:rPr>
          <w:t>Introduction to the Quality Framework</w:t>
        </w:r>
      </w:hyperlink>
      <w:r w:rsidRPr="3527DB35">
        <w:rPr>
          <w:rFonts w:eastAsia="Calibri" w:cs="Arial"/>
          <w:lang w:val="en-GB"/>
        </w:rPr>
        <w:t xml:space="preserve">. For ease of reference school-level responsibilities are set out in a separate guidance document </w:t>
      </w:r>
      <w:hyperlink r:id="rId16">
        <w:r w:rsidR="00A33CB5" w:rsidRPr="3527DB35">
          <w:rPr>
            <w:rStyle w:val="Hyperlink"/>
            <w:rFonts w:eastAsia="Calibri" w:cs="Arial"/>
            <w:color w:val="0000FF"/>
            <w:lang w:val="en-GB"/>
          </w:rPr>
          <w:t xml:space="preserve">Quality Framework Section 0a: </w:t>
        </w:r>
        <w:r w:rsidRPr="3527DB35">
          <w:rPr>
            <w:rStyle w:val="Hyperlink"/>
            <w:rFonts w:eastAsia="Calibri" w:cs="Arial"/>
            <w:color w:val="0000FF"/>
            <w:lang w:val="en-GB"/>
          </w:rPr>
          <w:t>School-level responsibilities for quality and standards</w:t>
        </w:r>
      </w:hyperlink>
      <w:r w:rsidRPr="3527DB35">
        <w:rPr>
          <w:rFonts w:eastAsia="Calibri" w:cs="Arial"/>
          <w:lang w:val="en-GB"/>
        </w:rPr>
        <w:t>.</w:t>
      </w:r>
      <w:bookmarkEnd w:id="9"/>
      <w:bookmarkEnd w:id="10"/>
    </w:p>
    <w:p w14:paraId="64232EBF" w14:textId="77777777" w:rsidR="00845806" w:rsidRPr="00676EC3" w:rsidRDefault="00845806" w:rsidP="00845806">
      <w:pPr>
        <w:tabs>
          <w:tab w:val="left" w:pos="567"/>
        </w:tabs>
        <w:spacing w:before="120" w:after="120"/>
        <w:rPr>
          <w:rFonts w:eastAsia="Calibri" w:cs="Arial"/>
          <w:lang w:val="en-GB"/>
        </w:rPr>
      </w:pPr>
    </w:p>
    <w:p w14:paraId="31D3EE69" w14:textId="77777777" w:rsidR="00676EC3" w:rsidRPr="00676EC3" w:rsidRDefault="00676EC3" w:rsidP="00845806">
      <w:pPr>
        <w:pStyle w:val="Heading1"/>
        <w:spacing w:line="360" w:lineRule="auto"/>
      </w:pPr>
      <w:bookmarkStart w:id="11" w:name="_Toc392687118"/>
      <w:bookmarkStart w:id="12" w:name="_Toc401304632"/>
      <w:bookmarkStart w:id="13" w:name="Appointingexternal"/>
      <w:bookmarkStart w:id="14" w:name="_Toc429137095"/>
      <w:bookmarkStart w:id="15" w:name="_Toc429304437"/>
      <w:bookmarkStart w:id="16" w:name="_Toc492462828"/>
      <w:r w:rsidRPr="00676EC3">
        <w:lastRenderedPageBreak/>
        <w:t>Appointing an external academic peer</w:t>
      </w:r>
      <w:bookmarkEnd w:id="11"/>
      <w:bookmarkEnd w:id="12"/>
      <w:bookmarkEnd w:id="13"/>
      <w:bookmarkEnd w:id="14"/>
      <w:bookmarkEnd w:id="15"/>
      <w:bookmarkEnd w:id="16"/>
    </w:p>
    <w:p w14:paraId="2A6E0026" w14:textId="27676B03" w:rsidR="00676EC3" w:rsidRPr="00676EC3" w:rsidRDefault="00676EC3" w:rsidP="00845806">
      <w:pPr>
        <w:numPr>
          <w:ilvl w:val="0"/>
          <w:numId w:val="2"/>
        </w:numPr>
        <w:tabs>
          <w:tab w:val="left" w:pos="567"/>
        </w:tabs>
        <w:spacing w:before="120" w:after="120"/>
        <w:ind w:left="567" w:hanging="567"/>
        <w:rPr>
          <w:rFonts w:eastAsia="Calibri" w:cs="Arial"/>
          <w:lang w:val="en-GB"/>
        </w:rPr>
      </w:pPr>
      <w:r w:rsidRPr="203EBF40">
        <w:rPr>
          <w:rFonts w:eastAsia="Calibri" w:cs="Arial"/>
          <w:lang w:val="en-GB"/>
        </w:rPr>
        <w:t>The inclusion of external academic peers during the design, development and approval of taught award or credit-bearing provision enables the University to be confident that the requirements of the</w:t>
      </w:r>
      <w:r w:rsidRPr="00004729">
        <w:rPr>
          <w:rFonts w:eastAsia="Calibri" w:cs="Arial"/>
          <w:lang w:val="en-GB"/>
        </w:rPr>
        <w:t xml:space="preserve"> </w:t>
      </w:r>
      <w:r w:rsidR="527F7344" w:rsidRPr="00004729">
        <w:rPr>
          <w:rFonts w:eastAsia="Arial" w:cs="Arial"/>
        </w:rPr>
        <w:t xml:space="preserve">Scottish Tertiary Quality Enhancement Framework and the </w:t>
      </w:r>
      <w:r w:rsidRPr="203EBF40">
        <w:rPr>
          <w:rFonts w:eastAsia="Calibri" w:cs="Arial"/>
          <w:lang w:val="en-GB"/>
        </w:rPr>
        <w:t>UK Quality Code for Higher Education have been taken into account.</w:t>
      </w:r>
    </w:p>
    <w:p w14:paraId="590868A7" w14:textId="0722AC47" w:rsidR="00676EC3" w:rsidRDefault="11D89257" w:rsidP="00845806">
      <w:pPr>
        <w:numPr>
          <w:ilvl w:val="0"/>
          <w:numId w:val="2"/>
        </w:numPr>
        <w:tabs>
          <w:tab w:val="left" w:pos="567"/>
        </w:tabs>
        <w:spacing w:before="120" w:after="120"/>
        <w:ind w:left="567" w:hanging="567"/>
        <w:rPr>
          <w:rFonts w:eastAsia="Calibri" w:cs="Arial"/>
          <w:lang w:val="en-GB"/>
        </w:rPr>
      </w:pPr>
      <w:r w:rsidRPr="6F6E3C3D">
        <w:rPr>
          <w:rFonts w:eastAsia="Calibri" w:cs="Arial"/>
          <w:lang w:val="en-GB"/>
        </w:rPr>
        <w:t xml:space="preserve">Appointment criteria for external academic peers are set out in </w:t>
      </w:r>
      <w:r w:rsidR="52DA1107" w:rsidRPr="6F6E3C3D">
        <w:rPr>
          <w:rFonts w:eastAsia="Calibri" w:cs="Arial"/>
          <w:lang w:val="en-GB"/>
        </w:rPr>
        <w:t xml:space="preserve">the </w:t>
      </w:r>
      <w:hyperlink r:id="rId17">
        <w:r w:rsidR="52DA1107" w:rsidRPr="6F6E3C3D">
          <w:rPr>
            <w:rStyle w:val="Hyperlink"/>
            <w:rFonts w:eastAsia="Calibri" w:cs="Arial"/>
            <w:color w:val="0000FF"/>
            <w:lang w:val="en-GB"/>
          </w:rPr>
          <w:t>Quality Framework S</w:t>
        </w:r>
        <w:r w:rsidRPr="6F6E3C3D">
          <w:rPr>
            <w:rStyle w:val="Hyperlink"/>
            <w:rFonts w:eastAsia="Calibri" w:cs="Arial"/>
            <w:color w:val="0000FF"/>
            <w:lang w:val="en-GB"/>
          </w:rPr>
          <w:t>ection 0b: Appointing external academic peers</w:t>
        </w:r>
      </w:hyperlink>
      <w:r w:rsidRPr="6F6E3C3D">
        <w:rPr>
          <w:rFonts w:eastAsia="Calibri" w:cs="Arial"/>
          <w:lang w:val="en-GB"/>
        </w:rPr>
        <w:t>.</w:t>
      </w:r>
    </w:p>
    <w:p w14:paraId="32D861F8" w14:textId="77777777" w:rsidR="00845806" w:rsidRDefault="00845806" w:rsidP="00845806">
      <w:pPr>
        <w:tabs>
          <w:tab w:val="left" w:pos="567"/>
        </w:tabs>
        <w:spacing w:before="120" w:after="120"/>
        <w:rPr>
          <w:rFonts w:eastAsia="Calibri" w:cs="Arial"/>
          <w:lang w:val="en-GB"/>
        </w:rPr>
      </w:pPr>
    </w:p>
    <w:p w14:paraId="6834D215" w14:textId="77777777" w:rsidR="00676EC3" w:rsidRPr="00676EC3" w:rsidRDefault="00676EC3" w:rsidP="00845806">
      <w:pPr>
        <w:pStyle w:val="Heading1"/>
        <w:spacing w:line="360" w:lineRule="auto"/>
      </w:pPr>
      <w:bookmarkStart w:id="17" w:name="amend"/>
      <w:bookmarkStart w:id="18" w:name="_Toc429394747"/>
      <w:bookmarkStart w:id="19" w:name="_Toc429395238"/>
      <w:bookmarkStart w:id="20" w:name="_Toc492462829"/>
      <w:bookmarkStart w:id="21" w:name="_Toc394653093"/>
      <w:bookmarkStart w:id="22" w:name="_Toc401304639"/>
      <w:bookmarkStart w:id="23" w:name="Monitoringprocedure"/>
      <w:bookmarkStart w:id="24" w:name="_Toc394401781"/>
      <w:bookmarkStart w:id="25" w:name="_Toc394482306"/>
      <w:r w:rsidRPr="00676EC3">
        <w:t>Amending, withdrawing or closing taught award or credit-bearing provision</w:t>
      </w:r>
      <w:bookmarkEnd w:id="17"/>
      <w:bookmarkEnd w:id="18"/>
      <w:bookmarkEnd w:id="19"/>
      <w:bookmarkEnd w:id="20"/>
    </w:p>
    <w:p w14:paraId="21721178" w14:textId="6946FA79" w:rsidR="11D89257" w:rsidRDefault="11D89257" w:rsidP="00845806">
      <w:pPr>
        <w:rPr>
          <w:rStyle w:val="normaltextrun"/>
          <w:rFonts w:ascii="Arial" w:eastAsia="Arial" w:hAnsi="Arial" w:cs="Arial"/>
          <w:color w:val="D13438"/>
          <w:sz w:val="24"/>
          <w:szCs w:val="24"/>
          <w:u w:val="single"/>
          <w:lang w:val="en-GB"/>
        </w:rPr>
      </w:pPr>
      <w:r w:rsidRPr="203EBF40">
        <w:rPr>
          <w:lang w:val="en-GB"/>
        </w:rPr>
        <w:t>The process for amending</w:t>
      </w:r>
      <w:r w:rsidR="13082CF6" w:rsidRPr="203EBF40">
        <w:rPr>
          <w:lang w:val="en-GB"/>
        </w:rPr>
        <w:t>, closing and withdrawing</w:t>
      </w:r>
      <w:r w:rsidRPr="203EBF40">
        <w:rPr>
          <w:lang w:val="en-GB"/>
        </w:rPr>
        <w:t xml:space="preserve"> an approved taught award or credit-bearing provision is set out in section</w:t>
      </w:r>
      <w:r w:rsidR="6DEB3F1C" w:rsidRPr="203EBF40">
        <w:rPr>
          <w:rFonts w:eastAsia="Arial"/>
          <w:lang w:val="en-GB"/>
        </w:rPr>
        <w:t xml:space="preserve"> </w:t>
      </w:r>
      <w:hyperlink r:id="rId18" w:history="1">
        <w:r w:rsidR="6DEB3F1C" w:rsidRPr="00842CD4">
          <w:rPr>
            <w:rStyle w:val="Hyperlink"/>
            <w:rFonts w:eastAsia="Arial" w:cs="Arial"/>
            <w:lang w:val="en-GB"/>
          </w:rPr>
          <w:t>Quality Framework Section 1</w:t>
        </w:r>
        <w:r w:rsidR="00004729" w:rsidRPr="00842CD4">
          <w:rPr>
            <w:rStyle w:val="Hyperlink"/>
            <w:rFonts w:eastAsia="Arial" w:cs="Arial"/>
            <w:lang w:val="en-GB"/>
          </w:rPr>
          <w:t>: Curriculum Management</w:t>
        </w:r>
        <w:r w:rsidR="004D49CF" w:rsidRPr="00842CD4">
          <w:rPr>
            <w:rStyle w:val="Hyperlink"/>
            <w:rFonts w:eastAsia="Arial" w:cs="Arial"/>
            <w:lang w:val="en-GB"/>
          </w:rPr>
          <w:t>: Development, Approval, Change &amp; Withdrawal</w:t>
        </w:r>
      </w:hyperlink>
    </w:p>
    <w:p w14:paraId="4EF19B0A" w14:textId="77777777" w:rsidR="00845806" w:rsidRDefault="00845806" w:rsidP="00845806">
      <w:pPr>
        <w:rPr>
          <w:rFonts w:eastAsia="Arial"/>
          <w:lang w:val="en-GB"/>
        </w:rPr>
      </w:pPr>
    </w:p>
    <w:p w14:paraId="38239B9C" w14:textId="3BF31EEF" w:rsidR="00676EC3" w:rsidRDefault="16EC771B" w:rsidP="00845806">
      <w:pPr>
        <w:keepNext/>
        <w:tabs>
          <w:tab w:val="left" w:pos="567"/>
        </w:tabs>
        <w:spacing w:before="120" w:after="120"/>
        <w:rPr>
          <w:rFonts w:eastAsia="SimSun" w:cs="Arial"/>
          <w:b/>
          <w:bCs/>
          <w:sz w:val="28"/>
          <w:szCs w:val="28"/>
        </w:rPr>
      </w:pPr>
      <w:bookmarkStart w:id="26" w:name="_Toc492462830"/>
      <w:r w:rsidRPr="0C9A1234">
        <w:rPr>
          <w:rStyle w:val="Heading1Char"/>
          <w:lang w:val="en-US"/>
        </w:rPr>
        <w:t>T</w:t>
      </w:r>
      <w:r w:rsidR="11D89257" w:rsidRPr="0C9A1234">
        <w:rPr>
          <w:rStyle w:val="Heading1Char"/>
          <w:lang w:val="en-US"/>
        </w:rPr>
        <w:t>erminating a collaboration agreement</w:t>
      </w:r>
      <w:r w:rsidR="20C87B55" w:rsidRPr="0C9A1234">
        <w:rPr>
          <w:rStyle w:val="Heading1Char"/>
          <w:lang w:val="en-US"/>
        </w:rPr>
        <w:t xml:space="preserve"> and / or closing a taught award or credit-bearing provision delivered in partnership with another organisat</w:t>
      </w:r>
      <w:r w:rsidR="20C87B55" w:rsidRPr="0C9A1234">
        <w:rPr>
          <w:rFonts w:eastAsia="SimSun" w:cs="Arial"/>
          <w:b/>
          <w:bCs/>
          <w:sz w:val="28"/>
          <w:szCs w:val="28"/>
        </w:rPr>
        <w:t>ion</w:t>
      </w:r>
      <w:bookmarkEnd w:id="26"/>
    </w:p>
    <w:p w14:paraId="13FB7846" w14:textId="21042ACD" w:rsidR="007676DE" w:rsidRPr="000D5274" w:rsidRDefault="5CB8C215" w:rsidP="00845806">
      <w:pPr>
        <w:pStyle w:val="AGH1"/>
        <w:numPr>
          <w:ilvl w:val="0"/>
          <w:numId w:val="2"/>
        </w:numPr>
        <w:tabs>
          <w:tab w:val="left" w:pos="567"/>
        </w:tabs>
        <w:spacing w:before="120" w:after="120" w:line="360" w:lineRule="auto"/>
        <w:ind w:left="567" w:hanging="567"/>
        <w:rPr>
          <w:rFonts w:cs="Arial"/>
        </w:rPr>
      </w:pPr>
      <w:r w:rsidRPr="6F6E3C3D">
        <w:rPr>
          <w:rFonts w:cs="Arial"/>
          <w:sz w:val="24"/>
          <w:szCs w:val="24"/>
        </w:rPr>
        <w:t xml:space="preserve">The </w:t>
      </w:r>
      <w:r w:rsidR="20C87B55" w:rsidRPr="6F6E3C3D">
        <w:rPr>
          <w:rFonts w:cs="Arial"/>
          <w:sz w:val="24"/>
          <w:szCs w:val="24"/>
        </w:rPr>
        <w:t>process for terminating a collaborative agreement and / or closing a taught award or credit- bearing provision delivere</w:t>
      </w:r>
      <w:r w:rsidR="6AFA2CD4" w:rsidRPr="6F6E3C3D">
        <w:rPr>
          <w:rFonts w:cs="Arial"/>
          <w:sz w:val="24"/>
          <w:szCs w:val="24"/>
        </w:rPr>
        <w:t xml:space="preserve">d in partnership is set out in </w:t>
      </w:r>
      <w:hyperlink r:id="rId19">
        <w:r w:rsidR="6AFA2CD4" w:rsidRPr="6F6E3C3D">
          <w:rPr>
            <w:rStyle w:val="Hyperlink"/>
            <w:rFonts w:cs="Arial"/>
            <w:color w:val="0000FF"/>
            <w:sz w:val="24"/>
            <w:szCs w:val="24"/>
          </w:rPr>
          <w:t>Quality Framework S</w:t>
        </w:r>
        <w:r w:rsidR="20C87B55" w:rsidRPr="6F6E3C3D">
          <w:rPr>
            <w:rStyle w:val="Hyperlink"/>
            <w:rFonts w:cs="Arial"/>
            <w:color w:val="0000FF"/>
            <w:sz w:val="24"/>
            <w:szCs w:val="24"/>
          </w:rPr>
          <w:t>ection 4g: Additional Monitor</w:t>
        </w:r>
        <w:r w:rsidR="3771B791" w:rsidRPr="6F6E3C3D">
          <w:rPr>
            <w:rStyle w:val="Hyperlink"/>
            <w:rFonts w:cs="Arial"/>
            <w:color w:val="0000FF"/>
            <w:sz w:val="24"/>
            <w:szCs w:val="24"/>
          </w:rPr>
          <w:t>i</w:t>
        </w:r>
        <w:r w:rsidR="20C87B55" w:rsidRPr="6F6E3C3D">
          <w:rPr>
            <w:rStyle w:val="Hyperlink"/>
            <w:rFonts w:cs="Arial"/>
            <w:color w:val="0000FF"/>
            <w:sz w:val="24"/>
            <w:szCs w:val="24"/>
          </w:rPr>
          <w:t>ng and Review Activities</w:t>
        </w:r>
      </w:hyperlink>
      <w:r w:rsidR="20C87B55" w:rsidRPr="6F6E3C3D">
        <w:rPr>
          <w:rFonts w:cs="Arial"/>
          <w:sz w:val="24"/>
          <w:szCs w:val="24"/>
        </w:rPr>
        <w:t xml:space="preserve">. </w:t>
      </w:r>
      <w:bookmarkEnd w:id="21"/>
      <w:bookmarkEnd w:id="22"/>
      <w:bookmarkEnd w:id="23"/>
      <w:bookmarkEnd w:id="24"/>
      <w:bookmarkEnd w:id="25"/>
    </w:p>
    <w:sectPr w:rsidR="007676DE" w:rsidRPr="000D5274" w:rsidSect="00F92E8C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A7299" w14:textId="77777777" w:rsidR="000D5018" w:rsidRDefault="000D5018" w:rsidP="00BB71A8">
      <w:r>
        <w:separator/>
      </w:r>
    </w:p>
  </w:endnote>
  <w:endnote w:type="continuationSeparator" w:id="0">
    <w:p w14:paraId="067A102E" w14:textId="77777777" w:rsidR="000D5018" w:rsidRDefault="000D5018" w:rsidP="00BB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67CC0" w14:textId="2C2F36B0" w:rsidR="203EBF40" w:rsidRDefault="203EBF40" w:rsidP="203EBF4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2E1786">
      <w:rPr>
        <w:noProof/>
      </w:rPr>
      <w:t>1</w:t>
    </w:r>
    <w:r>
      <w:fldChar w:fldCharType="end"/>
    </w:r>
  </w:p>
  <w:p w14:paraId="4DC7FFD7" w14:textId="10C8BDEE" w:rsidR="00F86022" w:rsidRPr="00DE5295" w:rsidRDefault="00DE5295" w:rsidP="0C9A1234">
    <w:pPr>
      <w:pStyle w:val="Footer"/>
      <w:tabs>
        <w:tab w:val="clear" w:pos="4513"/>
      </w:tabs>
      <w:ind w:left="567"/>
      <w:rPr>
        <w:rStyle w:val="PageNumber"/>
        <w:rFonts w:cs="Arial"/>
        <w:noProof/>
        <w:sz w:val="18"/>
        <w:szCs w:val="18"/>
      </w:rPr>
    </w:pPr>
    <w:r w:rsidRPr="00BE37D6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23598EAD" wp14:editId="075EC65C">
              <wp:simplePos x="0" y="0"/>
              <wp:positionH relativeFrom="column">
                <wp:posOffset>-279400</wp:posOffset>
              </wp:positionH>
              <wp:positionV relativeFrom="paragraph">
                <wp:posOffset>-149860</wp:posOffset>
              </wp:positionV>
              <wp:extent cx="454660" cy="454660"/>
              <wp:effectExtent l="0" t="0" r="2540" b="254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4660" cy="454660"/>
                        <a:chOff x="0" y="0"/>
                        <a:chExt cx="914400" cy="914400"/>
                      </a:xfrm>
                    </wpg:grpSpPr>
                    <wps:wsp>
                      <wps:cNvPr id="12" name="Right Triangle 12"/>
                      <wps:cNvSpPr/>
                      <wps:spPr>
                        <a:xfrm>
                          <a:off x="457200" y="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BCA5C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ight Triangle 16"/>
                      <wps:cNvSpPr/>
                      <wps:spPr>
                        <a:xfrm rot="5400000">
                          <a:off x="457200" y="45720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E0D5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ight Triangle 17"/>
                      <wps:cNvSpPr/>
                      <wps:spPr>
                        <a:xfrm flipH="1">
                          <a:off x="0" y="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8A62A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ight Triangle 19"/>
                      <wps:cNvSpPr/>
                      <wps:spPr>
                        <a:xfrm flipH="1" flipV="1">
                          <a:off x="0" y="45720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BCA5C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BB23887">
            <v:group id="Group 11" style="position:absolute;margin-left:-22pt;margin-top:-11.8pt;width:35.8pt;height:35.8pt;z-index:251693056;mso-width-relative:margin;mso-height-relative:margin" coordsize="9144,9144" o:spid="_x0000_s1026" w14:anchorId="56693E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InTQMAAA4QAAAOAAAAZHJzL2Uyb0RvYy54bWzsV1tv2jAUfp+0/2D5fU1AXNqoUDFou0lV&#10;W63d+mwcJ7Hk2J5tCN2v37GTAGthmzoJ7QEewnFsn8t3znccn1+sSoGWzFiu5Ah3TmKMmKQq5TIf&#10;4a+PVx9OMbKOyJQIJdkIPzOLL8bv351XOmFdVSiRMoNAibRJpUe4cE4nUWRpwUpiT5RmEiYzZUri&#10;YGjyKDWkAu2liLpxPIgqZVJtFGXWwttZPYnHQX+WMerusswyh8QIg28uPE14zv0zGp+TJDdEF5w2&#10;bpA3eFESLsHoWtWMOIIWhr9SVXJqlFWZO6GqjFSWccpCDBBNJ34RzbVRCx1iyZMq12uYANoXOL1Z&#10;Lb1d3hvEU8hdByNJSshRMItgDOBUOk9gzbXRD/reNC/yeuTjXWWm9P8QCVoFWJ/XsLKVQxRe9vq9&#10;wQDApzDVyAF2WkBuXu2ixWWz76zT68XNvkaGfVFrNPK+rV2pNBSQ3WBk/w2jh4JoFqC3Pv4Wo26L&#10;0ReeFw49Gk5kLhjqdGuwwuI1UjaxANoOmHr9IRQvRruwqmdqrIK8HTNJtLHumqkSeWGEjWt9COVH&#10;ljfW1Rvahd68VYKnV1yIMDD5fCoMWhLgxMfppD/96J0HXH9ZJiSqoCq6w5ACAtzMBHGQxVJDtViZ&#10;Y0REDqSnzgTbUnkLoKl2ckZsUdsIar0JkpTcAd0FL0f4NPa/xrKQfpYFwjYR+ITW8HlprtJnSIJR&#10;NYOtplccALgh1t0TA5QFNKENuTt4ZEKB56qRMCqU+bHrvV8PVQKzGFXQAiCq7wtiGEbis4T6CTUH&#10;PSMMQsowMtsz8+0ZuSinChAFGoF3QQSfjBOtmBlVPkG3mnirMEUkBds1fs1g6urWBP2OsskkLIM+&#10;oYm7kQ+aeuUtvI+rJ2J0UwUOqHar2polyYsyqNf6nVJNFk5lPNTIBlfIfsMfz/hDEGmwj0iDPxOp&#10;roI+9AZfQD6spvts0aoRQ9Ft+tBhuXUZz/qXwyO3jtyqKXUobg33cSvUouc3nGh7DimUCa4/tY3m&#10;96f6Ydl0Ohl0J6E7HE+q40ll9aHYdLaPTWd/cVKt2RR49W0nr/6Ho+r4GXj8DPQ3lc1nYLhdwaUz&#10;XAyaC7K/1W6Pw/rNNX78EwAA//8DAFBLAwQUAAYACAAAACEAP7YorOEAAAAJAQAADwAAAGRycy9k&#10;b3ducmV2LnhtbEyPQUvDQBCF74L/YRnBW7tJGmuJ2ZRS1FMRbAXxts1Ok9DsbMhuk/TfO57saWZ4&#10;jzffy9eTbcWAvW8cKYjnEQik0pmGKgVfh7fZCoQPmoxuHaGCK3pYF/d3uc6MG+kTh32oBIeQz7SC&#10;OoQuk9KXNVrt565DYu3keqsDn30lTa9HDretTKJoKa1uiD/UusNtjeV5f7EK3kc9bhbx67A7n7bX&#10;n8PTx/cuRqUeH6bNC4iAU/g3wx8+o0PBTEd3IeNFq2CWptwl8JIsliDYkTzzPCpIVxHIIpe3DYpf&#10;AAAA//8DAFBLAQItABQABgAIAAAAIQC2gziS/gAAAOEBAAATAAAAAAAAAAAAAAAAAAAAAABbQ29u&#10;dGVudF9UeXBlc10ueG1sUEsBAi0AFAAGAAgAAAAhADj9If/WAAAAlAEAAAsAAAAAAAAAAAAAAAAA&#10;LwEAAF9yZWxzLy5yZWxzUEsBAi0AFAAGAAgAAAAhAMLMgidNAwAADhAAAA4AAAAAAAAAAAAAAAAA&#10;LgIAAGRycy9lMm9Eb2MueG1sUEsBAi0AFAAGAAgAAAAhAD+2KKzhAAAACQEAAA8AAAAAAAAAAAAA&#10;AAAApwUAAGRycy9kb3ducmV2LnhtbFBLBQYAAAAABAAEAPMAAAC1BgAAAAA=&#10;">
              <v:shapetype id="_x0000_t6" coordsize="21600,21600" o:spt="6" path="m,l,21600r21600,xe">
                <v:stroke joinstyle="miter"/>
                <v:path textboxrect="1800,12600,12600,19800" gradientshapeok="t" o:connecttype="custom" o:connectlocs="0,0;0,10800;0,21600;10800,21600;21600,21600;10800,10800"/>
              </v:shapetype>
              <v:shape id="Right Triangle 12" style="position:absolute;left:4572;width:4572;height:4572;visibility:visible;mso-wrap-style:square;v-text-anchor:middle" o:spid="_x0000_s1027" fillcolor="#bca5cb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W5QwgAAANsAAAAPAAAAZHJzL2Rvd25yZXYueG1sRE9NawIx&#10;EL0X/A9hhF6KZuvBLqtRRCoU6sFuvfQ2JOPu6mayJOm6/feNIHibx/uc5XqwrejJh8axgtdpBoJY&#10;O9NwpeD4vZvkIEJENtg6JgV/FGC9Gj0tsTDuyl/Ul7ESKYRDgQrqGLtCyqBrshimriNO3Ml5izFB&#10;X0nj8ZrCbStnWTaXFhtODTV2tK1JX8pfq+CnzN/a/cHg8eV82b33n9rrPFfqeTxsFiAiDfEhvrs/&#10;TJo/g9sv6QC5+gcAAP//AwBQSwECLQAUAAYACAAAACEA2+H2y+4AAACFAQAAEwAAAAAAAAAAAAAA&#10;AAAAAAAAW0NvbnRlbnRfVHlwZXNdLnhtbFBLAQItABQABgAIAAAAIQBa9CxbvwAAABUBAAALAAAA&#10;AAAAAAAAAAAAAB8BAABfcmVscy8ucmVsc1BLAQItABQABgAIAAAAIQB6HW5QwgAAANsAAAAPAAAA&#10;AAAAAAAAAAAAAAcCAABkcnMvZG93bnJldi54bWxQSwUGAAAAAAMAAwC3AAAA9gIAAAAA&#10;"/>
              <v:shape id="Right Triangle 16" style="position:absolute;left:4572;top:4572;width:4572;height:4572;rotation:90;visibility:visible;mso-wrap-style:square;v-text-anchor:middle" o:spid="_x0000_s1028" fillcolor="#e0d5e7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rhdwgAAANsAAAAPAAAAZHJzL2Rvd25yZXYueG1sRE/bagIx&#10;EH0v9B/CCL5pVgXR1ShtUbClgtc+D5txs3QzWTbR3fbrG0Ho2xzOdebL1pbiRrUvHCsY9BMQxJnT&#10;BecKTsd1bwLCB2SNpWNS8EMelovnpzmm2jW8p9sh5CKGsE9RgQmhSqX0mSGLvu8q4shdXG0xRFjn&#10;UtfYxHBbymGSjKXFgmODwYreDGXfh6tV0Ex3xWr0Ki/b7OPrt23M+fN9dFaq22lfZiACteFf/HBv&#10;dJw/hvsv8QC5+AMAAP//AwBQSwECLQAUAAYACAAAACEA2+H2y+4AAACFAQAAEwAAAAAAAAAAAAAA&#10;AAAAAAAAW0NvbnRlbnRfVHlwZXNdLnhtbFBLAQItABQABgAIAAAAIQBa9CxbvwAAABUBAAALAAAA&#10;AAAAAAAAAAAAAB8BAABfcmVscy8ucmVsc1BLAQItABQABgAIAAAAIQDwJrhdwgAAANsAAAAPAAAA&#10;AAAAAAAAAAAAAAcCAABkcnMvZG93bnJldi54bWxQSwUGAAAAAAMAAwC3AAAA9gIAAAAA&#10;"/>
              <v:shape id="Right Triangle 17" style="position:absolute;width:4572;height:4572;flip:x;visibility:visible;mso-wrap-style:square;v-text-anchor:middle" o:spid="_x0000_s1029" fillcolor="#8a62a6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vzwQAAANsAAAAPAAAAZHJzL2Rvd25yZXYueG1sRE9LawIx&#10;EL4L/Q9hCr1pth6qrMZFFopSqFAfeB02425wM1mSdF3765tCwdt8fM9ZFoNtRU8+GMcKXicZCOLK&#10;acO1guPhfTwHESKyxtYxKbhTgGL1NFpirt2Nv6jfx1qkEA45Kmhi7HIpQ9WQxTBxHXHiLs5bjAn6&#10;WmqPtxRuWznNsjdp0XBqaLCjsqHquv+2Ck5md84+f2b3nWey29L09cemV+rleVgvQEQa4kP8797q&#10;NH8Gf7+kA+TqFwAA//8DAFBLAQItABQABgAIAAAAIQDb4fbL7gAAAIUBAAATAAAAAAAAAAAAAAAA&#10;AAAAAABbQ29udGVudF9UeXBlc10ueG1sUEsBAi0AFAAGAAgAAAAhAFr0LFu/AAAAFQEAAAsAAAAA&#10;AAAAAAAAAAAAHwEAAF9yZWxzLy5yZWxzUEsBAi0AFAAGAAgAAAAhAKie2/PBAAAA2wAAAA8AAAAA&#10;AAAAAAAAAAAABwIAAGRycy9kb3ducmV2LnhtbFBLBQYAAAAAAwADALcAAAD1AgAAAAA=&#10;"/>
              <v:shape id="Right Triangle 19" style="position:absolute;top:4572;width:4572;height:4572;flip:x y;visibility:visible;mso-wrap-style:square;v-text-anchor:middle" o:spid="_x0000_s1030" fillcolor="#bca5cb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CwFwQAAANsAAAAPAAAAZHJzL2Rvd25yZXYueG1sRE9Ni8Iw&#10;EL0v+B/CCF5EUxWWtRpFBEHE3cWq96EZ22IzqU209d+bBWFv83ifM1+2phQPql1hWcFoGIEgTq0u&#10;OFNwOm4GXyCcR9ZYWiYFT3KwXHQ+5hhr2/CBHonPRAhhF6OC3PsqltKlORl0Q1sRB+5ia4M+wDqT&#10;usYmhJtSjqPoUxosODTkWNE6p/Sa3I2Cy+/3ubyN9+56oKpJJrsfM5F9pXrddjUD4an1/+K3e6vD&#10;/Cn8/RIOkIsXAAAA//8DAFBLAQItABQABgAIAAAAIQDb4fbL7gAAAIUBAAATAAAAAAAAAAAAAAAA&#10;AAAAAABbQ29udGVudF9UeXBlc10ueG1sUEsBAi0AFAAGAAgAAAAhAFr0LFu/AAAAFQEAAAsAAAAA&#10;AAAAAAAAAAAAHwEAAF9yZWxzLy5yZWxzUEsBAi0AFAAGAAgAAAAhAMnwLAXBAAAA2wAAAA8AAAAA&#10;AAAAAAAAAAAABwIAAGRycy9kb3ducmV2LnhtbFBLBQYAAAAAAwADALcAAAD1AgAAAAA=&#10;"/>
            </v:group>
          </w:pict>
        </mc:Fallback>
      </mc:AlternateContent>
    </w:r>
    <w:r w:rsidR="0C9A1234">
      <w:rPr>
        <w:rFonts w:cs="Arial"/>
        <w:sz w:val="18"/>
        <w:szCs w:val="18"/>
        <w:lang w:val="en-GB"/>
      </w:rPr>
      <w:t>Managing</w:t>
    </w:r>
    <w:r w:rsidR="0C9A1234" w:rsidRPr="00CD41F9">
      <w:rPr>
        <w:rFonts w:cs="Arial"/>
        <w:sz w:val="18"/>
        <w:szCs w:val="18"/>
        <w:lang w:val="en-GB"/>
      </w:rPr>
      <w:t xml:space="preserve"> Provision</w:t>
    </w:r>
    <w:r w:rsidR="0C9A1234">
      <w:rPr>
        <w:rFonts w:cs="Arial"/>
        <w:sz w:val="18"/>
        <w:szCs w:val="18"/>
        <w:lang w:val="en-GB"/>
      </w:rPr>
      <w:t xml:space="preserve"> Delivered in Partnership 24/25</w:t>
    </w:r>
    <w:r>
      <w:rPr>
        <w:rFonts w:cs="Arial"/>
        <w:sz w:val="18"/>
        <w:szCs w:val="18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370E0C26" w14:paraId="779D4CED" w14:textId="77777777" w:rsidTr="00845806">
      <w:tc>
        <w:tcPr>
          <w:tcW w:w="3213" w:type="dxa"/>
        </w:tcPr>
        <w:p w14:paraId="0BCC2B36" w14:textId="4AA3F06E" w:rsidR="370E0C26" w:rsidRDefault="370E0C26" w:rsidP="6F6E3C3D">
          <w:pPr>
            <w:pStyle w:val="Header"/>
            <w:ind w:left="-115"/>
          </w:pPr>
        </w:p>
      </w:tc>
      <w:tc>
        <w:tcPr>
          <w:tcW w:w="3213" w:type="dxa"/>
        </w:tcPr>
        <w:p w14:paraId="295A5B87" w14:textId="2099B153" w:rsidR="370E0C26" w:rsidRDefault="370E0C26" w:rsidP="6F6E3C3D">
          <w:pPr>
            <w:pStyle w:val="Header"/>
            <w:jc w:val="center"/>
          </w:pPr>
        </w:p>
      </w:tc>
      <w:tc>
        <w:tcPr>
          <w:tcW w:w="3213" w:type="dxa"/>
        </w:tcPr>
        <w:p w14:paraId="15A1AFC7" w14:textId="6C590B5E" w:rsidR="370E0C26" w:rsidRDefault="370E0C26" w:rsidP="00845806">
          <w:pPr>
            <w:pStyle w:val="Header"/>
            <w:ind w:right="-115"/>
            <w:jc w:val="right"/>
          </w:pPr>
        </w:p>
      </w:tc>
    </w:tr>
  </w:tbl>
  <w:p w14:paraId="7730C303" w14:textId="5E162387" w:rsidR="370E0C26" w:rsidRDefault="370E0C26" w:rsidP="00845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9EE5" w14:textId="77777777" w:rsidR="00CD41F9" w:rsidRDefault="00CD41F9" w:rsidP="001F1E1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BD5B15" w14:textId="77777777" w:rsidR="00BB71A8" w:rsidRDefault="00BB71A8" w:rsidP="00CD41F9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A1EE2" w14:textId="4B39A78D" w:rsidR="203EBF40" w:rsidRDefault="203EBF40" w:rsidP="203EBF4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2E1786">
      <w:rPr>
        <w:noProof/>
      </w:rPr>
      <w:t>3</w:t>
    </w:r>
    <w:r>
      <w:fldChar w:fldCharType="end"/>
    </w:r>
  </w:p>
  <w:p w14:paraId="64AC82E0" w14:textId="0CB9272F" w:rsidR="00BB71A8" w:rsidRDefault="004A1DB4" w:rsidP="0C9A1234">
    <w:pPr>
      <w:pStyle w:val="Footer"/>
      <w:ind w:right="360"/>
      <w:rPr>
        <w:rStyle w:val="PageNumber"/>
        <w:rFonts w:cs="Arial"/>
        <w:noProof/>
        <w:sz w:val="18"/>
        <w:szCs w:val="18"/>
      </w:rPr>
    </w:pPr>
    <w:r w:rsidRPr="00BE37D6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36" behindDoc="0" locked="0" layoutInCell="1" allowOverlap="1" wp14:anchorId="68101D9A" wp14:editId="2C60EDF5">
              <wp:simplePos x="0" y="0"/>
              <wp:positionH relativeFrom="column">
                <wp:posOffset>-702310</wp:posOffset>
              </wp:positionH>
              <wp:positionV relativeFrom="paragraph">
                <wp:posOffset>10795</wp:posOffset>
              </wp:positionV>
              <wp:extent cx="454660" cy="454660"/>
              <wp:effectExtent l="0" t="0" r="2540" b="25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4660" cy="454660"/>
                        <a:chOff x="0" y="0"/>
                        <a:chExt cx="914400" cy="914400"/>
                      </a:xfrm>
                    </wpg:grpSpPr>
                    <wps:wsp>
                      <wps:cNvPr id="7" name="Right Triangle 7"/>
                      <wps:cNvSpPr/>
                      <wps:spPr>
                        <a:xfrm>
                          <a:off x="457200" y="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BCA5C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ight Triangle 13"/>
                      <wps:cNvSpPr/>
                      <wps:spPr>
                        <a:xfrm rot="5400000">
                          <a:off x="457200" y="45720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E0D5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ight Triangle 14"/>
                      <wps:cNvSpPr/>
                      <wps:spPr>
                        <a:xfrm flipH="1">
                          <a:off x="0" y="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8A62A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ight Triangle 15"/>
                      <wps:cNvSpPr/>
                      <wps:spPr>
                        <a:xfrm flipH="1" flipV="1">
                          <a:off x="0" y="45720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BCA5C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17EF4027">
            <v:group id="Group 6" style="position:absolute;margin-left:-55.3pt;margin-top:.85pt;width:35.8pt;height:35.8pt;z-index:251658236;mso-width-relative:margin;mso-height-relative:margin" coordsize="9144,9144" o:spid="_x0000_s1026" w14:anchorId="70007D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6DkSQMAAAoQAAAOAAAAZHJzL2Uyb0RvYy54bWzsV1tv2yAUfp+0/4B4X51kuXRWnSpL2m5S&#10;1VZrtz4TjG0kDAxInO7X74DtJGuTaeukaA/JAzn4wLl8nO/YnJ2vSoGWzFiuZIK7Jx2MmKQq5TJP&#10;8NeHy3enGFlHZEqEkizBT8zi8/HbN2eVjllPFUqkzCAwIm1c6QQXzuk4iiwtWEnsidJMgjJTpiQO&#10;piaPUkMqsF6KqNfpDKNKmVQbRZm18HRWK/E42M8yRt1tllnmkEgwxObCaMI492M0PiNxboguOG3C&#10;IK+IoiRcgtO1qRlxBC0Mf2Gq5NQoqzJ3QlUZqSzjlIUcIJtu51k2V0YtdMglj6tcr2ECaJ/h9Gqz&#10;9GZ5ZxBPEzzESJISjih4RUMPTaXzGFZcGX2v70zzIK9nPttVZkr/D3mgVQD1aQ0qWzlE4WF/0B8O&#10;AXoKqkYOoNMCTubFLlpcNPs+dPv9TrOvkWFf1DqNfGzrUCoN5WM3CNl/Q+i+IJoF4K3Pv0Fo1CL0&#10;heeFQw+GE5kLhkY1VGHpGicbW4BsB0j9wQgKF6NdSNWaGqkgb2dMYm2su2KqRF5IsHFtCKH0yPLa&#10;unpDu9C7t0rw9JILESYmn0+FQUsCfPg4nQymH33wgOovy4REFbC5NwoHQICXmSAOzrDUUClW5hgR&#10;kQPhqTPBt1TeA1iqg5wRW9Q+glnvgsQld0B1wcsEn3b8r/EspNeyQNYmA3+cNXxemqv0CY7AqJq9&#10;VtNLDgBcE+vuiAG6AprQgtwtDJlQELlqJIwKZX7seu7XQ42AFqMK6A9ZfV8QwzASnyVUT6g46Bdh&#10;Eo4MI7OtmW9r5KKcKkC0C81O0yBCTMaJVsyMKh+hU028V1ARScF3jV8zmbq6LUGvo2wyCcugR2ji&#10;ruW9pt54C+/D6pEY3VSBA6LdqLZiSfysDOq1fqdUk4VTGQ81ssEVTr9hj+f7AWjUfb+HR6CAQvEx&#10;AOf2EKmuggF0Bl9APq2m92zRqhFD0W260GG5ddGZDS5CYzhy68gtqw/Frf4+bvX/gFuZ4PpT22h+&#10;/04/LJtOJ8PeJHyRHNl0ZNPh2DTYx6bB37AJeV5928mr/+FVdfwMPH4G+pvK5jMw3K3gwhkuBs3l&#10;2N9ot+dh/eYKP/4JAAD//wMAUEsDBBQABgAIAAAAIQA0UWEQ4AAAAAkBAAAPAAAAZHJzL2Rvd25y&#10;ZXYueG1sTI9BS8NAEIXvgv9hGcFbuonB1sZsSinqqQi2gvS2zU6T0OxsyG6T9N87nuxxeB9vvpev&#10;JtuKAXvfOFKQzGIQSKUzDVUKvvfv0QsIHzQZ3TpCBVf0sCru73KdGTfSFw67UAkuIZ9pBXUIXSal&#10;L2u02s9ch8TZyfVWBz77Sppej1xuW/kUx3NpdUP8odYdbmosz7uLVfAx6nGdJm/D9nzaXA/758+f&#10;bYJKPT5M61cQAafwD8OfPqtDwU5HdyHjRasgSpJ4ziwnCxAMROmSxx0VLNIUZJHL2wXFLwAAAP//&#10;AwBQSwECLQAUAAYACAAAACEAtoM4kv4AAADhAQAAEwAAAAAAAAAAAAAAAAAAAAAAW0NvbnRlbnRf&#10;VHlwZXNdLnhtbFBLAQItABQABgAIAAAAIQA4/SH/1gAAAJQBAAALAAAAAAAAAAAAAAAAAC8BAABf&#10;cmVscy8ucmVsc1BLAQItABQABgAIAAAAIQDo76DkSQMAAAoQAAAOAAAAAAAAAAAAAAAAAC4CAABk&#10;cnMvZTJvRG9jLnhtbFBLAQItABQABgAIAAAAIQA0UWEQ4AAAAAkBAAAPAAAAAAAAAAAAAAAAAKMF&#10;AABkcnMvZG93bnJldi54bWxQSwUGAAAAAAQABADzAAAAsAYAAAAA&#10;">
              <v:shapetype id="_x0000_t6" coordsize="21600,21600" o:spt="6" path="m,l,21600r21600,xe">
                <v:stroke joinstyle="miter"/>
                <v:path textboxrect="1800,12600,12600,19800" gradientshapeok="t" o:connecttype="custom" o:connectlocs="0,0;0,10800;0,21600;10800,21600;21600,21600;10800,10800"/>
              </v:shapetype>
              <v:shape id="Right Triangle 7" style="position:absolute;left:4572;width:4572;height:4572;visibility:visible;mso-wrap-style:square;v-text-anchor:middle" o:spid="_x0000_s1027" fillcolor="#bca5cb" stroked="f" strokeweight="1pt" type="#_x0000_t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R78QA&#10;AADaAAAADwAAAGRycy9kb3ducmV2LnhtbESPQWsCMRSE7wX/Q3iCl6LZetBlNYpIhUJ7sFsvvT2S&#10;5+7q5mVJ0nX77xtB6HGYmW+Y9XawrejJh8axgpdZBoJYO9NwpeD0dZjmIEJENtg6JgW/FGC7GT2t&#10;sTDuxp/Ul7ESCcKhQAV1jF0hZdA1WQwz1xEn7+y8xZikr6TxeEtw28p5li2kxYbTQo0d7WvS1/LH&#10;Kvgu82X7cTR4er5cD6/9u/Y6z5WajIfdCkSkIf6HH+03o2AJ9yvp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oUe/EAAAA2gAAAA8AAAAAAAAAAAAAAAAAmAIAAGRycy9k&#10;b3ducmV2LnhtbFBLBQYAAAAABAAEAPUAAACJAwAAAAA=&#10;"/>
              <v:shape id="Right Triangle 13" style="position:absolute;left:4572;top:4572;width:4572;height:4572;rotation:90;visibility:visible;mso-wrap-style:square;v-text-anchor:middle" o:spid="_x0000_s1028" fillcolor="#e0d5e7" stroked="f" strokeweight="1pt" type="#_x0000_t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EbxcMA&#10;AADbAAAADwAAAGRycy9kb3ducmV2LnhtbERP32vCMBB+H/g/hBN8m+lWEK1GmUNBxwbTTZ+P5myK&#10;zaU00db99Ysw2Nt9fD9vtuhsJa7U+NKxgqdhAoI4d7rkQsH31/pxDMIHZI2VY1JwIw+Lee9hhpl2&#10;Le/oug+FiCHsM1RgQqgzKX1uyKIfupo4cifXWAwRNoXUDbYx3FbyOUlG0mLJscFgTa+G8vP+YhW0&#10;k89ylS7l6SN/O/50rTm8b9ODUoN+9zIFEagL/+I/90bH+Sncf4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EbxcMAAADbAAAADwAAAAAAAAAAAAAAAACYAgAAZHJzL2Rv&#10;d25yZXYueG1sUEsFBgAAAAAEAAQA9QAAAIgDAAAAAA==&#10;"/>
              <v:shape id="Right Triangle 14" style="position:absolute;width:4572;height:4572;flip:x;visibility:visible;mso-wrap-style:square;v-text-anchor:middle" o:spid="_x0000_s1029" fillcolor="#8a62a6" stroked="f" strokeweight="1pt" type="#_x0000_t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FhMEA&#10;AADbAAAADwAAAGRycy9kb3ducmV2LnhtbERP32vCMBB+H/g/hBP2NlNFplTTMgRRBhN0jr0ezdmG&#10;NZeSxFr31y+Dwd7u4/t563KwrejJB+NYwXSSgSCunDZcKzi/b5+WIEJE1tg6JgV3ClAWo4c15trd&#10;+Ej9KdYihXDIUUETY5dLGaqGLIaJ64gTd3HeYkzQ11J7vKVw28pZlj1Li4ZTQ4MdbRqqvk5Xq+DD&#10;HD6zt+/F/eCZ7H5j+vp11yv1OB5eViAiDfFf/Ofe6zR/Dr+/p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MRYTBAAAA2wAAAA8AAAAAAAAAAAAAAAAAmAIAAGRycy9kb3du&#10;cmV2LnhtbFBLBQYAAAAABAAEAPUAAACGAwAAAAA=&#10;"/>
              <v:shape id="Right Triangle 15" style="position:absolute;top:4572;width:4572;height:4572;flip:x y;visibility:visible;mso-wrap-style:square;v-text-anchor:middle" o:spid="_x0000_s1030" fillcolor="#bca5cb" stroked="f" strokeweight="1pt" type="#_x0000_t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mAMEA&#10;AADbAAAADwAAAGRycy9kb3ducmV2LnhtbERPTYvCMBC9L/gfwgheRFOVXaQaRQRBxN3FqvehGdti&#10;M6lNtPXfmwVhb/N4nzNftqYUD6pdYVnBaBiBIE6tLjhTcDpuBlMQziNrLC2Tgic5WC46H3OMtW34&#10;QI/EZyKEsItRQe59FUvp0pwMuqGtiAN3sbVBH2CdSV1jE8JNKcdR9CUNFhwacqxonVN6Te5GweX3&#10;+1zexnt3PVDVJJPdj5nIvlK9bruagfDU+n/x273VYf4n/P0SD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9JgDBAAAA2wAAAA8AAAAAAAAAAAAAAAAAmAIAAGRycy9kb3du&#10;cmV2LnhtbFBLBQYAAAAABAAEAPUAAACGAwAAAAA=&#10;"/>
            </v:group>
          </w:pict>
        </mc:Fallback>
      </mc:AlternateContent>
    </w:r>
    <w:r w:rsidR="0C9A1234" w:rsidRPr="0C9A1234">
      <w:rPr>
        <w:rFonts w:cs="Arial"/>
        <w:sz w:val="18"/>
        <w:szCs w:val="18"/>
        <w:lang w:val="en-GB"/>
      </w:rPr>
      <w:t>Managing Provision Delivered in Partnership 24/25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E4C3B" w14:textId="14E9C1E0" w:rsidR="00DE5295" w:rsidRPr="00DE5295" w:rsidRDefault="00DE5295" w:rsidP="0C9A1234">
    <w:pPr>
      <w:pStyle w:val="Footer"/>
      <w:tabs>
        <w:tab w:val="clear" w:pos="4513"/>
      </w:tabs>
      <w:ind w:left="567"/>
      <w:rPr>
        <w:rFonts w:cs="Arial"/>
        <w:sz w:val="18"/>
        <w:szCs w:val="18"/>
        <w:lang w:val="en-GB"/>
      </w:rPr>
    </w:pPr>
    <w:r w:rsidRPr="00BE37D6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63AF348B" wp14:editId="537FB2C7">
              <wp:simplePos x="0" y="0"/>
              <wp:positionH relativeFrom="column">
                <wp:posOffset>-279400</wp:posOffset>
              </wp:positionH>
              <wp:positionV relativeFrom="paragraph">
                <wp:posOffset>-149860</wp:posOffset>
              </wp:positionV>
              <wp:extent cx="454660" cy="454660"/>
              <wp:effectExtent l="0" t="0" r="2540" b="254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4660" cy="454660"/>
                        <a:chOff x="0" y="0"/>
                        <a:chExt cx="914400" cy="914400"/>
                      </a:xfrm>
                    </wpg:grpSpPr>
                    <wps:wsp>
                      <wps:cNvPr id="4" name="Right Triangle 4"/>
                      <wps:cNvSpPr/>
                      <wps:spPr>
                        <a:xfrm>
                          <a:off x="457200" y="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BCA5C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ight Triangle 5"/>
                      <wps:cNvSpPr/>
                      <wps:spPr>
                        <a:xfrm rot="5400000">
                          <a:off x="457200" y="45720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E0D5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ight Triangle 8"/>
                      <wps:cNvSpPr/>
                      <wps:spPr>
                        <a:xfrm flipH="1">
                          <a:off x="0" y="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8A62A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ight Triangle 20"/>
                      <wps:cNvSpPr/>
                      <wps:spPr>
                        <a:xfrm flipH="1" flipV="1">
                          <a:off x="0" y="457200"/>
                          <a:ext cx="457200" cy="457200"/>
                        </a:xfrm>
                        <a:prstGeom prst="rtTriangle">
                          <a:avLst/>
                        </a:prstGeom>
                        <a:solidFill>
                          <a:srgbClr val="BCA5C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3921B25">
            <v:group id="Group 3" style="position:absolute;margin-left:-22pt;margin-top:-11.8pt;width:35.8pt;height:35.8pt;z-index:251697152;mso-width-relative:margin;mso-height-relative:margin" coordsize="9144,9144" o:spid="_x0000_s1026" w14:anchorId="6EC20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rGUAMAAAYQAAAOAAAAZHJzL2Uyb0RvYy54bWzsV1Fv2yAQfp+0/4B4X52kSZpZdao0abtJ&#10;VVut3fpMMLaRMDAgdbpfvwPbSZam29RJ0R6SB3L4gLv7uO+A07NlKdATM5YrmeDuUQcjJqlKucwT&#10;/PXh8sMII+uITIlQkiX4mVl8Nn7/7rTSMeupQomUGQSLSBtXOsGFczqOIksLVhJ7pDSToMyUKYmD&#10;rsmj1JAKVi9F1Ot0hlGlTKqNosxa+DqrlXgc1s8yRt1tllnmkEgw+OZCa0I79200PiVxboguOG3c&#10;IG/woiRcgtHVUjPiCFoY/mKpklOjrMrcEVVlpLKMUxZigGi6na1oroxa6BBLHle5XsEE0G7h9OZl&#10;6c3TnUE8TfAxRpKUsEXBKjr20FQ6j2HEldH3+s40H/K656NdZqb0/xAHWgZQn1egsqVDFD72B/3h&#10;EKCnoGrkADotYGdezKLFRTPvY7ff7zTzGhnmRa3RyPu2cqXSkD52jZD9N4TuC6JZAN76+BuE+i1C&#10;X3heOPRgOJG5YKhfQxWGrnCysQXIdoDUH5xA4mK0C6laUyMV5M2ISayNdVdMlcgLCTaudSGkHnm6&#10;tq6e0A705q0SPL3kQoSOyedTYdATAT6cTyeD6bl3HlD9ZZiQqAI2907CBhDgZSaIgz0sNWSKlTlG&#10;RORAeOpMsC2VtwAr1U7OiC1qG2FZb4LEJXdAdcHLBI86/tdYFtJrWSBrE4Hfzho+L81V+gxbYFTN&#10;XqvpJQcArol1d8QAXQFNKEHuFppMKPBcNRJGhTI/dn334yFHQItRBfSHqL4viGEYic8SsidkHNSL&#10;0AlbhpHZ1Mw3NXJRThUg2oVip2kQwSfjRCtmRpWPUKkm3iqoiKRgu8av6UxdXZag1lE2mYRhUCM0&#10;cdfyXlO/eAvvw/KRGN1kgQOi3ag2Y0m8lQb1WD9TqsnCqYyHHFnjCrvfsMfzfQ80GrxCo8GfaVTn&#10;wADqgk8fH1RTeTZI1Ygh5dY1aL/MuujMBhcnB2YdmFUTak/MgrtWfYRvHVCjv2BWJrj+1BaZ35/n&#10;++XSaDLsTYYHLh24tFcu9eCU3kkmUMDZ4k9KuBm+ct1DKzYF6dtOXv0PB9XhCni4AvpXyvoKGN5V&#10;8NgMj4LmYexfs5v9MH79fB//BAAA//8DAFBLAwQUAAYACAAAACEAP7YorOEAAAAJAQAADwAAAGRy&#10;cy9kb3ducmV2LnhtbEyPQUvDQBCF74L/YRnBW7tJGmuJ2ZRS1FMRbAXxts1Ok9DsbMhuk/TfO57s&#10;aWZ4jzffy9eTbcWAvW8cKYjnEQik0pmGKgVfh7fZCoQPmoxuHaGCK3pYF/d3uc6MG+kTh32oBIeQ&#10;z7SCOoQuk9KXNVrt565DYu3keqsDn30lTa9HDretTKJoKa1uiD/UusNtjeV5f7EK3kc9bhbx67A7&#10;n7bXn8PTx/cuRqUeH6bNC4iAU/g3wx8+o0PBTEd3IeNFq2CWptwl8JIsliDYkTzzPCpIVxHIIpe3&#10;DYpfAAAA//8DAFBLAQItABQABgAIAAAAIQC2gziS/gAAAOEBAAATAAAAAAAAAAAAAAAAAAAAAABb&#10;Q29udGVudF9UeXBlc10ueG1sUEsBAi0AFAAGAAgAAAAhADj9If/WAAAAlAEAAAsAAAAAAAAAAAAA&#10;AAAALwEAAF9yZWxzLy5yZWxzUEsBAi0AFAAGAAgAAAAhABpOKsZQAwAABhAAAA4AAAAAAAAAAAAA&#10;AAAALgIAAGRycy9lMm9Eb2MueG1sUEsBAi0AFAAGAAgAAAAhAD+2KKzhAAAACQEAAA8AAAAAAAAA&#10;AAAAAAAAqgUAAGRycy9kb3ducmV2LnhtbFBLBQYAAAAABAAEAPMAAAC4BgAAAAA=&#10;">
              <v:shapetype id="_x0000_t6" coordsize="21600,21600" o:spt="6" path="m,l,21600r21600,xe">
                <v:stroke joinstyle="miter"/>
                <v:path textboxrect="1800,12600,12600,19800" gradientshapeok="t" o:connecttype="custom" o:connectlocs="0,0;0,10800;0,21600;10800,21600;21600,21600;10800,10800"/>
              </v:shapetype>
              <v:shape id="Right Triangle 4" style="position:absolute;left:4572;width:4572;height:4572;visibility:visible;mso-wrap-style:square;v-text-anchor:middle" o:spid="_x0000_s1027" fillcolor="#bca5cb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s+YxAAAANoAAAAPAAAAZHJzL2Rvd25yZXYueG1sRI9BawIx&#10;FITvBf9DeIKXotlKaZfVKCIVhPbQrl68PZLn7urmZUniuv33TaHQ4zAz3zDL9WBb0ZMPjWMFT7MM&#10;BLF2puFKwfGwm+YgQkQ22DomBd8UYL0aPSyxMO7OX9SXsRIJwqFABXWMXSFl0DVZDDPXESfv7LzF&#10;mKSvpPF4T3DbynmWvUiLDaeFGjva1qSv5c0qOJX5a/vxafD4eLnu3vp37XWeKzUZD5sFiEhD/A//&#10;tfdGwTP8Xkk3QK5+AAAA//8DAFBLAQItABQABgAIAAAAIQDb4fbL7gAAAIUBAAATAAAAAAAAAAAA&#10;AAAAAAAAAABbQ29udGVudF9UeXBlc10ueG1sUEsBAi0AFAAGAAgAAAAhAFr0LFu/AAAAFQEAAAsA&#10;AAAAAAAAAAAAAAAAHwEAAF9yZWxzLy5yZWxzUEsBAi0AFAAGAAgAAAAhAPf6z5jEAAAA2gAAAA8A&#10;AAAAAAAAAAAAAAAABwIAAGRycy9kb3ducmV2LnhtbFBLBQYAAAAAAwADALcAAAD4AgAAAAA=&#10;"/>
              <v:shape id="Right Triangle 5" style="position:absolute;left:4572;top:4572;width:4572;height:4572;rotation:90;visibility:visible;mso-wrap-style:square;v-text-anchor:middle" o:spid="_x0000_s1028" fillcolor="#e0d5e7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IIxAAAANoAAAAPAAAAZHJzL2Rvd25yZXYueG1sRI9BawIx&#10;FITvgv8hPKE3zVqp6NYotrTQikKr1fNj89wsbl6WTepu/fWNIHgcZuYbZrZobSnOVPvCsYLhIAFB&#10;nDldcK7gZ/fen4DwAVlj6ZgU/JGHxbzbmWGqXcPfdN6GXEQI+xQVmBCqVEqfGbLoB64ijt7R1RZD&#10;lHUudY1NhNtSPibJWFosOC4YrOjVUHba/loFzfSreBu9yOMmWx0ubWP268/RXqmHXrt8BhGoDffw&#10;rf2hFTzB9Uq8AXL+DwAA//8DAFBLAQItABQABgAIAAAAIQDb4fbL7gAAAIUBAAATAAAAAAAAAAAA&#10;AAAAAAAAAABbQ29udGVudF9UeXBlc10ueG1sUEsBAi0AFAAGAAgAAAAhAFr0LFu/AAAAFQEAAAsA&#10;AAAAAAAAAAAAAAAAHwEAAF9yZWxzLy5yZWxzUEsBAi0AFAAGAAgAAAAhAJBx4gjEAAAA2gAAAA8A&#10;AAAAAAAAAAAAAAAABwIAAGRycy9kb3ducmV2LnhtbFBLBQYAAAAAAwADALcAAAD4AgAAAAA=&#10;"/>
              <v:shape id="Right Triangle 8" style="position:absolute;width:4572;height:4572;flip:x;visibility:visible;mso-wrap-style:square;v-text-anchor:middle" o:spid="_x0000_s1029" fillcolor="#8a62a6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lwAAAANoAAAAPAAAAZHJzL2Rvd25yZXYueG1sRE/Pa8Iw&#10;FL4P/B/CG3hb0+3gpGuUIchEsLDq2PXRvLVhzUtJYq3+9cth4PHj+12uJ9uLkXwwjhU8ZzkI4sZp&#10;w62C03H7tAQRIrLG3jEpuFKA9Wr2UGKh3YU/aaxjK1IIhwIVdDEOhZSh6chiyNxAnLgf5y3GBH0r&#10;tcdLCre9fMnzhbRoODV0ONCmo+a3PlsFX6b6zg+312vlmexuY8Z2/zEqNX+c3t9ARJriXfzv3mkF&#10;aWu6km6AXP0BAAD//wMAUEsBAi0AFAAGAAgAAAAhANvh9svuAAAAhQEAABMAAAAAAAAAAAAAAAAA&#10;AAAAAFtDb250ZW50X1R5cGVzXS54bWxQSwECLQAUAAYACAAAACEAWvQsW78AAAAVAQAACwAAAAAA&#10;AAAAAAAAAAAfAQAAX3JlbHMvLnJlbHNQSwECLQAUAAYACAAAACEAVr0R5cAAAADaAAAADwAAAAAA&#10;AAAAAAAAAAAHAgAAZHJzL2Rvd25yZXYueG1sUEsFBgAAAAADAAMAtwAAAPQCAAAAAA==&#10;"/>
              <v:shape id="Right Triangle 20" style="position:absolute;top:4572;width:4572;height:4572;flip:x y;visibility:visible;mso-wrap-style:square;v-text-anchor:middle" o:spid="_x0000_s1030" fillcolor="#bca5cb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8lwAAAANsAAAAPAAAAZHJzL2Rvd25yZXYueG1sRE9Ni8Iw&#10;EL0L/ocwghfRdCuIVKOIsLCIu9Kq96EZ22Iz6TbRdv/95iB4fLzv9bY3tXhS6yrLCj5mEQji3OqK&#10;CwWX8+d0CcJ5ZI21ZVLwRw62m+FgjYm2Haf0zHwhQgi7BBWU3jeJlC4vyaCb2YY4cDfbGvQBtoXU&#10;LXYh3NQyjqKFNFhxaCixoX1J+T17GAW30/e1/o2P7p5S02Xzw4+Zy4lS41G/W4Hw1Pu3+OX+0gri&#10;sD58CT9Abv4BAAD//wMAUEsBAi0AFAAGAAgAAAAhANvh9svuAAAAhQEAABMAAAAAAAAAAAAAAAAA&#10;AAAAAFtDb250ZW50X1R5cGVzXS54bWxQSwECLQAUAAYACAAAACEAWvQsW78AAAAVAQAACwAAAAAA&#10;AAAAAAAAAAAfAQAAX3JlbHMvLnJlbHNQSwECLQAUAAYACAAAACEAlqZPJcAAAADbAAAADwAAAAAA&#10;AAAAAAAAAAAHAgAAZHJzL2Rvd25yZXYueG1sUEsFBgAAAAADAAMAtwAAAPQCAAAAAA==&#10;"/>
            </v:group>
          </w:pict>
        </mc:Fallback>
      </mc:AlternateContent>
    </w:r>
    <w:r w:rsidR="0C9A1234">
      <w:rPr>
        <w:rFonts w:cs="Arial"/>
        <w:sz w:val="18"/>
        <w:szCs w:val="18"/>
        <w:lang w:val="en-GB"/>
      </w:rPr>
      <w:t>Managing</w:t>
    </w:r>
    <w:r w:rsidR="0C9A1234" w:rsidRPr="00CD41F9">
      <w:rPr>
        <w:rFonts w:cs="Arial"/>
        <w:sz w:val="18"/>
        <w:szCs w:val="18"/>
        <w:lang w:val="en-GB"/>
      </w:rPr>
      <w:t xml:space="preserve"> Provision</w:t>
    </w:r>
    <w:r w:rsidR="0C9A1234">
      <w:rPr>
        <w:rFonts w:cs="Arial"/>
        <w:sz w:val="18"/>
        <w:szCs w:val="18"/>
        <w:lang w:val="en-GB"/>
      </w:rPr>
      <w:t xml:space="preserve"> Delivered in Partnership 24/25</w:t>
    </w:r>
    <w:r>
      <w:rPr>
        <w:rFonts w:cs="Arial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82F66" w14:textId="77777777" w:rsidR="000D5018" w:rsidRDefault="000D5018" w:rsidP="00BB71A8">
      <w:r>
        <w:separator/>
      </w:r>
    </w:p>
  </w:footnote>
  <w:footnote w:type="continuationSeparator" w:id="0">
    <w:p w14:paraId="67B357A2" w14:textId="77777777" w:rsidR="000D5018" w:rsidRDefault="000D5018" w:rsidP="00BB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60C38" w14:textId="7B428522" w:rsidR="007676DE" w:rsidRPr="003E1472" w:rsidRDefault="00F86022" w:rsidP="003E1472">
    <w:pPr>
      <w:pStyle w:val="Header"/>
      <w:tabs>
        <w:tab w:val="right" w:pos="9639"/>
      </w:tabs>
      <w:jc w:val="right"/>
      <w:rPr>
        <w:rFonts w:cs="Arial"/>
        <w:b/>
      </w:rPr>
    </w:pPr>
    <w:r>
      <w:rPr>
        <w:rFonts w:cs="Arial"/>
        <w:b/>
        <w:noProof/>
        <w:lang w:val="en-GB" w:eastAsia="en-GB"/>
      </w:rPr>
      <w:drawing>
        <wp:anchor distT="0" distB="0" distL="114300" distR="114300" simplePos="0" relativeHeight="251686912" behindDoc="0" locked="0" layoutInCell="1" allowOverlap="1" wp14:anchorId="41FA5EEA" wp14:editId="5905FCCB">
          <wp:simplePos x="0" y="0"/>
          <wp:positionH relativeFrom="page">
            <wp:posOffset>9525</wp:posOffset>
          </wp:positionH>
          <wp:positionV relativeFrom="paragraph">
            <wp:posOffset>-448310</wp:posOffset>
          </wp:positionV>
          <wp:extent cx="7659370" cy="1009650"/>
          <wp:effectExtent l="0" t="0" r="0" b="0"/>
          <wp:wrapThrough wrapText="bothSides">
            <wp:wrapPolygon edited="0">
              <wp:start x="1128" y="0"/>
              <wp:lineTo x="0" y="8558"/>
              <wp:lineTo x="0" y="10189"/>
              <wp:lineTo x="1182" y="19970"/>
              <wp:lineTo x="21382" y="19970"/>
              <wp:lineTo x="21382" y="0"/>
              <wp:lineTo x="1128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2BC12" w14:textId="38833792" w:rsidR="007676DE" w:rsidRPr="00DB1843" w:rsidRDefault="00F86022" w:rsidP="00D3193C">
    <w:pPr>
      <w:pStyle w:val="Header"/>
      <w:tabs>
        <w:tab w:val="right" w:pos="9639"/>
      </w:tabs>
      <w:jc w:val="right"/>
      <w:rPr>
        <w:rFonts w:cs="Arial"/>
        <w:b/>
      </w:rPr>
    </w:pPr>
    <w:r>
      <w:rPr>
        <w:rFonts w:cs="Arial"/>
        <w:b/>
        <w:noProof/>
        <w:lang w:val="en-GB" w:eastAsia="en-GB"/>
      </w:rPr>
      <w:drawing>
        <wp:anchor distT="0" distB="0" distL="114300" distR="114300" simplePos="0" relativeHeight="251684864" behindDoc="0" locked="0" layoutInCell="1" allowOverlap="1" wp14:anchorId="7B6F91DB" wp14:editId="2E6CB6C6">
          <wp:simplePos x="0" y="0"/>
          <wp:positionH relativeFrom="column">
            <wp:posOffset>-691515</wp:posOffset>
          </wp:positionH>
          <wp:positionV relativeFrom="paragraph">
            <wp:posOffset>-450215</wp:posOffset>
          </wp:positionV>
          <wp:extent cx="7659370" cy="1009650"/>
          <wp:effectExtent l="0" t="0" r="0" b="0"/>
          <wp:wrapThrough wrapText="bothSides">
            <wp:wrapPolygon edited="0">
              <wp:start x="1128" y="0"/>
              <wp:lineTo x="0" y="8558"/>
              <wp:lineTo x="0" y="10189"/>
              <wp:lineTo x="1182" y="19970"/>
              <wp:lineTo x="21382" y="19970"/>
              <wp:lineTo x="21382" y="0"/>
              <wp:lineTo x="1128" y="0"/>
            </wp:wrapPolygon>
          </wp:wrapThrough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EA69" w14:textId="6B1CF816" w:rsidR="00BB71A8" w:rsidRDefault="00F92E8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166622C" wp14:editId="3EFCA333">
              <wp:simplePos x="0" y="0"/>
              <wp:positionH relativeFrom="column">
                <wp:posOffset>-914400</wp:posOffset>
              </wp:positionH>
              <wp:positionV relativeFrom="paragraph">
                <wp:posOffset>-247650</wp:posOffset>
              </wp:positionV>
              <wp:extent cx="7553325" cy="19050"/>
              <wp:effectExtent l="19050" t="19050" r="2857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19050"/>
                      </a:xfrm>
                      <a:prstGeom prst="line">
                        <a:avLst/>
                      </a:prstGeom>
                      <a:ln w="38100">
                        <a:solidFill>
                          <a:srgbClr val="8A62A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C8A7A52">
            <v:line id="Straight Connector 21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8a62a6" strokeweight="3pt" from="-1in,-19.5pt" to="522.75pt,-18pt" w14:anchorId="68DC54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h15QEAABQEAAAOAAAAZHJzL2Uyb0RvYy54bWysU9uO0zAQfUfiHyy/0yStWkrUdLXqanlB&#10;ULHLB7iO3VjyTWPTpH/P2EmzK0BIIF6cjGfOmTnH9u5uMJpcBATlbEOrRUmJsNy1yp4b+u358d2W&#10;khCZbZl2VjT0KgK92799s+t9LZauc7oVQJDEhrr3De1i9HVRBN4Jw8LCeWExKR0YFjGEc9EC65Hd&#10;6GJZlpuid9B6cFyEgLsPY5LuM7+UgscvUgYRiW4ozhbzCnk9pbXY71h9BuY7xacx2D9MYZiy2HSm&#10;emCRke+gfqEyioMLTsYFd6ZwUiousgZUU5U/qXnqmBdZC5oT/GxT+H+0/PPlCES1DV1WlFhm8Iye&#10;IjB17iI5OGvRQQcEk+hU70ONgIM9whQFf4Qke5Bg0hcFkSG7e53dFUMkHDffr9er1XJNCcdc9aFc&#10;Z/eLF7CHED8KZ0j6aahWNolnNbt8ChEbYumtJG1rS/qGrrZVWeay4LRqH5XWKRngfDpoIBeGB7+9&#10;3yzvN0kBUrwqw0hb3Ey6RiX5L161GBt8FRK9wdmrsUO6lWKmZZwLG7MzmQmrE0ziCDNwGu1PwKk+&#10;QUW+sX8DnhG5s7NxBhtlHfxu7DjcRpZj/c2BUXey4OTaaz7jbA1evezc9EzS3X4dZ/jLY97/AAAA&#10;//8DAFBLAwQUAAYACAAAACEAlqpLp+MAAAANAQAADwAAAGRycy9kb3ducmV2LnhtbEyPwU7DMBBE&#10;70j8g7VI3Fq7kBYa4lQUKBeQaAuIqxsvSSBeB9tpA1+Pc4Lb7O5o9k226E3D9uh8bUnCZCyAIRVW&#10;11RKeHlejS6B+aBIq8YSSvhGD4v8+ChTqbYH2uB+G0oWQ8inSkIVQpty7osKjfJj2yLF27t1RoU4&#10;upJrpw4x3DT8TIgZN6qm+KFSLd5UWHxuOyPhZ+5WF1/u9u31Ifl4ur8rlt3jeinl6Ul/fQUsYB/+&#10;zDDgR3TII9POdqQ9aySMJkkSy4SozudRDBaRTKfAdsNqJoDnGf/fIv8FAAD//wMAUEsBAi0AFAAG&#10;AAgAAAAhALaDOJL+AAAA4QEAABMAAAAAAAAAAAAAAAAAAAAAAFtDb250ZW50X1R5cGVzXS54bWxQ&#10;SwECLQAUAAYACAAAACEAOP0h/9YAAACUAQAACwAAAAAAAAAAAAAAAAAvAQAAX3JlbHMvLnJlbHNQ&#10;SwECLQAUAAYACAAAACEACa0IdeUBAAAUBAAADgAAAAAAAAAAAAAAAAAuAgAAZHJzL2Uyb0RvYy54&#10;bWxQSwECLQAUAAYACAAAACEAlqpLp+MAAAANAQAADwAAAAAAAAAAAAAAAAA/BAAAZHJzL2Rvd25y&#10;ZXYueG1sUEsFBgAAAAAEAAQA8wAAAE8FAAAAAA==&#10;">
              <v:stroke joinstyle="miter"/>
            </v:line>
          </w:pict>
        </mc:Fallback>
      </mc:AlternateContent>
    </w:r>
    <w:r w:rsidR="00791CC1"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31FF50A9" wp14:editId="0CE54AA1">
          <wp:simplePos x="0" y="0"/>
          <wp:positionH relativeFrom="column">
            <wp:posOffset>4623435</wp:posOffset>
          </wp:positionH>
          <wp:positionV relativeFrom="paragraph">
            <wp:posOffset>-231084</wp:posOffset>
          </wp:positionV>
          <wp:extent cx="1651000" cy="4136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dNapUni_BW_rev_DO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413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2F97" w14:textId="30C42CFB" w:rsidR="00E75C3E" w:rsidRDefault="000D527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0FE72FC" wp14:editId="41687C46">
              <wp:simplePos x="0" y="0"/>
              <wp:positionH relativeFrom="column">
                <wp:posOffset>-930275</wp:posOffset>
              </wp:positionH>
              <wp:positionV relativeFrom="paragraph">
                <wp:posOffset>-257175</wp:posOffset>
              </wp:positionV>
              <wp:extent cx="7553325" cy="19050"/>
              <wp:effectExtent l="1905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8A62A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10A642AD">
            <v:line id="Straight Connector 2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8a62a6" strokeweight="3pt" from="-73.25pt,-20.25pt" to="521.5pt,-18.75pt" w14:anchorId="70C2B2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sPzgEAAHkDAAAOAAAAZHJzL2Uyb0RvYy54bWysU02PGjEMvVfqf4hyX2YYBKUjhtUKtL1U&#10;LdK2P8BkkplI+ZKTMvDv6wTKbttbVQ7Bju3nvGfP5vFsDTtJjNq7js9nNWfSCd9rN3T8+7fnhzVn&#10;MYHrwXgnO36RkT9u37/bTKGVjR+96SUyAnGxnULHx5RCW1VRjNJCnPkgHQWVRwuJXByqHmEidGuq&#10;pq5X1eSxD+iFjJFu99cg3xZ8paRIX5WKMjHTcXpbKieW85jParuBdkAIoxa3Z8A/vMKCdtT0DrWH&#10;BOwH6r+grBboo1dpJrytvFJayMKB2MzrP9i8jBBk4ULixHCXKf4/WPHldECm+443nDmwNKKXhKCH&#10;MbGdd44E9MiarNMUYkvpO3fAmxfDATPps0Kb/4kOOxdtL3dt5TkxQZcflsvFollyJig2/1gvi/bV&#10;a3HAmD5Jb1k2Om60y9ShhdPnmKghpf5KydfOP2tjyviMY1PHF+t5TRMWQFukDCQybSBe0Q2cgRlo&#10;PUXCAhm90X0uz0ARh+POIDsBrcj6adU8rTJbavdbWu69hzhe80roujxWJ9pgoy1V1/l3qzYuo8uy&#10;gzcGWcGrZtk6+v5SpKyyR/MtTW+7mBforU/22y9m+xMAAP//AwBQSwMEFAAGAAgAAAAhAE6TfX3k&#10;AAAADQEAAA8AAABkcnMvZG93bnJldi54bWxMj0FTwjAQhe/O+B8y64w3SJACWpsyosJFZ0DU8Rqa&#10;ta02SU1SqP56l5Pe3u6+efu9bN6bhu3Rh9pZCaOhAIa2cLq2pYSX5+XgEliIymrVOIsSvjHAPD89&#10;yVSq3cE+4X4bS0YhNqRKQhVjm3IeigqNCkPXoqXbu/NGRRp9ybVXBwo3Db8QYsqNqi19qFSLtxUW&#10;n9vOSPi58svZl797e31IPtar+2LRPW4WUp6f9TfXwCL28c8MR3xCh5yYdq6zOrBGwmCUTCfkJZUI&#10;EkeLSMbUb0er8WwCPM/4/xb5LwAAAP//AwBQSwECLQAUAAYACAAAACEAtoM4kv4AAADhAQAAEwAA&#10;AAAAAAAAAAAAAAAAAAAAW0NvbnRlbnRfVHlwZXNdLnhtbFBLAQItABQABgAIAAAAIQA4/SH/1gAA&#10;AJQBAAALAAAAAAAAAAAAAAAAAC8BAABfcmVscy8ucmVsc1BLAQItABQABgAIAAAAIQCY7xsPzgEA&#10;AHkDAAAOAAAAAAAAAAAAAAAAAC4CAABkcnMvZTJvRG9jLnhtbFBLAQItABQABgAIAAAAIQBOk319&#10;5AAAAA0BAAAPAAAAAAAAAAAAAAAAACgEAABkcnMvZG93bnJldi54bWxQSwUGAAAAAAQABADzAAAA&#10;OQ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77B85"/>
    <w:multiLevelType w:val="hybridMultilevel"/>
    <w:tmpl w:val="F2FE9A6E"/>
    <w:lvl w:ilvl="0" w:tplc="559A697C">
      <w:start w:val="13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4AA"/>
    <w:multiLevelType w:val="hybridMultilevel"/>
    <w:tmpl w:val="C7EAF3DC"/>
    <w:lvl w:ilvl="0" w:tplc="C45A4F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D2140"/>
    <w:multiLevelType w:val="hybridMultilevel"/>
    <w:tmpl w:val="EC6ED7CC"/>
    <w:lvl w:ilvl="0" w:tplc="E0B872FE">
      <w:start w:val="1"/>
      <w:numFmt w:val="lowerLetter"/>
      <w:pStyle w:val="AGH1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93CD8"/>
    <w:multiLevelType w:val="hybridMultilevel"/>
    <w:tmpl w:val="C316A08C"/>
    <w:lvl w:ilvl="0" w:tplc="7644951C">
      <w:start w:val="1"/>
      <w:numFmt w:val="lowerLetter"/>
      <w:pStyle w:val="AGH2"/>
      <w:lvlText w:val="%1)"/>
      <w:lvlJc w:val="left"/>
      <w:pPr>
        <w:ind w:left="1851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2086C74"/>
    <w:multiLevelType w:val="hybridMultilevel"/>
    <w:tmpl w:val="99561B3C"/>
    <w:lvl w:ilvl="0" w:tplc="898C68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50153"/>
    <w:multiLevelType w:val="hybridMultilevel"/>
    <w:tmpl w:val="000E77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FAE0573"/>
    <w:multiLevelType w:val="hybridMultilevel"/>
    <w:tmpl w:val="FB44F7D4"/>
    <w:lvl w:ilvl="0" w:tplc="76E6C54E">
      <w:start w:val="1"/>
      <w:numFmt w:val="decimal"/>
      <w:lvlText w:val="Case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C2B91"/>
    <w:multiLevelType w:val="hybridMultilevel"/>
    <w:tmpl w:val="D1E4C2AA"/>
    <w:lvl w:ilvl="0" w:tplc="6D747B12">
      <w:start w:val="1"/>
      <w:numFmt w:val="lowerRoman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D42BD"/>
    <w:multiLevelType w:val="hybridMultilevel"/>
    <w:tmpl w:val="BADC30FA"/>
    <w:lvl w:ilvl="0" w:tplc="D14A83CC">
      <w:start w:val="1"/>
      <w:numFmt w:val="decimal"/>
      <w:lvlText w:val="Step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76F9D"/>
    <w:multiLevelType w:val="hybridMultilevel"/>
    <w:tmpl w:val="FB44F7D4"/>
    <w:lvl w:ilvl="0" w:tplc="76E6C54E">
      <w:start w:val="1"/>
      <w:numFmt w:val="decimal"/>
      <w:lvlText w:val="Case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47ACD"/>
    <w:multiLevelType w:val="hybridMultilevel"/>
    <w:tmpl w:val="61E8993C"/>
    <w:lvl w:ilvl="0" w:tplc="C17AD7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F2CBC"/>
    <w:multiLevelType w:val="hybridMultilevel"/>
    <w:tmpl w:val="D5A0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1051E"/>
    <w:multiLevelType w:val="hybridMultilevel"/>
    <w:tmpl w:val="E7E837D0"/>
    <w:lvl w:ilvl="0" w:tplc="C17AD7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664826">
    <w:abstractNumId w:val="11"/>
  </w:num>
  <w:num w:numId="2" w16cid:durableId="754516486">
    <w:abstractNumId w:val="1"/>
  </w:num>
  <w:num w:numId="3" w16cid:durableId="1339694812">
    <w:abstractNumId w:val="12"/>
  </w:num>
  <w:num w:numId="4" w16cid:durableId="649940276">
    <w:abstractNumId w:val="2"/>
  </w:num>
  <w:num w:numId="5" w16cid:durableId="2064593914">
    <w:abstractNumId w:val="3"/>
  </w:num>
  <w:num w:numId="6" w16cid:durableId="92828339">
    <w:abstractNumId w:val="8"/>
  </w:num>
  <w:num w:numId="7" w16cid:durableId="1566453951">
    <w:abstractNumId w:val="5"/>
  </w:num>
  <w:num w:numId="8" w16cid:durableId="614823117">
    <w:abstractNumId w:val="6"/>
  </w:num>
  <w:num w:numId="9" w16cid:durableId="1745445215">
    <w:abstractNumId w:val="9"/>
  </w:num>
  <w:num w:numId="10" w16cid:durableId="1191840552">
    <w:abstractNumId w:val="4"/>
  </w:num>
  <w:num w:numId="11" w16cid:durableId="578561831">
    <w:abstractNumId w:val="10"/>
  </w:num>
  <w:num w:numId="12" w16cid:durableId="801652655">
    <w:abstractNumId w:val="7"/>
  </w:num>
  <w:num w:numId="13" w16cid:durableId="32829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A8"/>
    <w:rsid w:val="00004729"/>
    <w:rsid w:val="0000608C"/>
    <w:rsid w:val="00032360"/>
    <w:rsid w:val="00041AA2"/>
    <w:rsid w:val="0009F325"/>
    <w:rsid w:val="000D5018"/>
    <w:rsid w:val="000D5274"/>
    <w:rsid w:val="00144E13"/>
    <w:rsid w:val="00163D03"/>
    <w:rsid w:val="00183675"/>
    <w:rsid w:val="00186B6C"/>
    <w:rsid w:val="001C50BA"/>
    <w:rsid w:val="001D612D"/>
    <w:rsid w:val="001F5E24"/>
    <w:rsid w:val="00201F1E"/>
    <w:rsid w:val="00243942"/>
    <w:rsid w:val="00265D0A"/>
    <w:rsid w:val="00295BD0"/>
    <w:rsid w:val="002B499D"/>
    <w:rsid w:val="002E1786"/>
    <w:rsid w:val="002F1F1C"/>
    <w:rsid w:val="0030289B"/>
    <w:rsid w:val="00376A62"/>
    <w:rsid w:val="00413215"/>
    <w:rsid w:val="0042195F"/>
    <w:rsid w:val="0046227C"/>
    <w:rsid w:val="004679C1"/>
    <w:rsid w:val="004975CA"/>
    <w:rsid w:val="004A0F0D"/>
    <w:rsid w:val="004A1DB4"/>
    <w:rsid w:val="004A4502"/>
    <w:rsid w:val="004B2DD5"/>
    <w:rsid w:val="004D49CF"/>
    <w:rsid w:val="00521F6A"/>
    <w:rsid w:val="005332F6"/>
    <w:rsid w:val="00577011"/>
    <w:rsid w:val="005861AD"/>
    <w:rsid w:val="00587353"/>
    <w:rsid w:val="00666123"/>
    <w:rsid w:val="00671632"/>
    <w:rsid w:val="00676EC3"/>
    <w:rsid w:val="006B63C1"/>
    <w:rsid w:val="006B720B"/>
    <w:rsid w:val="00700674"/>
    <w:rsid w:val="00703561"/>
    <w:rsid w:val="007676DE"/>
    <w:rsid w:val="00791CC1"/>
    <w:rsid w:val="007B0296"/>
    <w:rsid w:val="007F2AC4"/>
    <w:rsid w:val="00802873"/>
    <w:rsid w:val="00834C81"/>
    <w:rsid w:val="00842CD4"/>
    <w:rsid w:val="00845806"/>
    <w:rsid w:val="0087269C"/>
    <w:rsid w:val="00892E8D"/>
    <w:rsid w:val="008A1DD7"/>
    <w:rsid w:val="008A23AD"/>
    <w:rsid w:val="008A6829"/>
    <w:rsid w:val="009251E9"/>
    <w:rsid w:val="00A31C30"/>
    <w:rsid w:val="00A33CB5"/>
    <w:rsid w:val="00A45C05"/>
    <w:rsid w:val="00A6425F"/>
    <w:rsid w:val="00A874CF"/>
    <w:rsid w:val="00AC1AE9"/>
    <w:rsid w:val="00B129E6"/>
    <w:rsid w:val="00B46DEE"/>
    <w:rsid w:val="00B9031D"/>
    <w:rsid w:val="00B9791F"/>
    <w:rsid w:val="00BB6298"/>
    <w:rsid w:val="00BB71A8"/>
    <w:rsid w:val="00BE37D6"/>
    <w:rsid w:val="00C22928"/>
    <w:rsid w:val="00C50E99"/>
    <w:rsid w:val="00CC4C55"/>
    <w:rsid w:val="00CD41F9"/>
    <w:rsid w:val="00CF6CDC"/>
    <w:rsid w:val="00D85DAD"/>
    <w:rsid w:val="00DE5295"/>
    <w:rsid w:val="00E75C3E"/>
    <w:rsid w:val="00E80319"/>
    <w:rsid w:val="00E92835"/>
    <w:rsid w:val="00EE44AD"/>
    <w:rsid w:val="00F25210"/>
    <w:rsid w:val="00F462CA"/>
    <w:rsid w:val="00F86022"/>
    <w:rsid w:val="00F92E8C"/>
    <w:rsid w:val="00FB035F"/>
    <w:rsid w:val="00FD0588"/>
    <w:rsid w:val="00FD25CC"/>
    <w:rsid w:val="00FF0732"/>
    <w:rsid w:val="02D231B6"/>
    <w:rsid w:val="02F5EE25"/>
    <w:rsid w:val="0364C3B2"/>
    <w:rsid w:val="04E54833"/>
    <w:rsid w:val="054D726D"/>
    <w:rsid w:val="05A5979D"/>
    <w:rsid w:val="08A57D87"/>
    <w:rsid w:val="08E19123"/>
    <w:rsid w:val="0911E27D"/>
    <w:rsid w:val="09212AB4"/>
    <w:rsid w:val="0C9A1234"/>
    <w:rsid w:val="0DBC7879"/>
    <w:rsid w:val="11BB8C25"/>
    <w:rsid w:val="11D89257"/>
    <w:rsid w:val="12E92192"/>
    <w:rsid w:val="13082CF6"/>
    <w:rsid w:val="13ADC1F4"/>
    <w:rsid w:val="1423CD01"/>
    <w:rsid w:val="14493FFF"/>
    <w:rsid w:val="153DBBF2"/>
    <w:rsid w:val="1564CA33"/>
    <w:rsid w:val="16EC771B"/>
    <w:rsid w:val="1A4FCC1A"/>
    <w:rsid w:val="1A9C1106"/>
    <w:rsid w:val="1BC6E1D2"/>
    <w:rsid w:val="1C05F53F"/>
    <w:rsid w:val="1EC965E6"/>
    <w:rsid w:val="1F5BD23C"/>
    <w:rsid w:val="203EBF40"/>
    <w:rsid w:val="20C87B55"/>
    <w:rsid w:val="24FFB575"/>
    <w:rsid w:val="2538141F"/>
    <w:rsid w:val="274DBBFF"/>
    <w:rsid w:val="2A5476C2"/>
    <w:rsid w:val="2B552A91"/>
    <w:rsid w:val="2C4EDFE4"/>
    <w:rsid w:val="2C63CB1E"/>
    <w:rsid w:val="2D23F074"/>
    <w:rsid w:val="2E156D9F"/>
    <w:rsid w:val="2F55E5AD"/>
    <w:rsid w:val="2FE81DB7"/>
    <w:rsid w:val="30365E70"/>
    <w:rsid w:val="30812BBE"/>
    <w:rsid w:val="336C8983"/>
    <w:rsid w:val="3527DB35"/>
    <w:rsid w:val="355FA92B"/>
    <w:rsid w:val="35953CEF"/>
    <w:rsid w:val="369EB328"/>
    <w:rsid w:val="370E0C26"/>
    <w:rsid w:val="37565422"/>
    <w:rsid w:val="3771B791"/>
    <w:rsid w:val="398E0B92"/>
    <w:rsid w:val="3AAC2932"/>
    <w:rsid w:val="3C22AB12"/>
    <w:rsid w:val="3E2DA98C"/>
    <w:rsid w:val="3F76F1FD"/>
    <w:rsid w:val="3FDD5E5E"/>
    <w:rsid w:val="407D515C"/>
    <w:rsid w:val="40A2A564"/>
    <w:rsid w:val="40F20474"/>
    <w:rsid w:val="40F60083"/>
    <w:rsid w:val="41B47D53"/>
    <w:rsid w:val="45DF9BE2"/>
    <w:rsid w:val="47D5356D"/>
    <w:rsid w:val="482B3CA9"/>
    <w:rsid w:val="48EB7A62"/>
    <w:rsid w:val="4A8040A1"/>
    <w:rsid w:val="4C22B1FB"/>
    <w:rsid w:val="4E7A2047"/>
    <w:rsid w:val="4F7A0BED"/>
    <w:rsid w:val="4FF04F67"/>
    <w:rsid w:val="527F7344"/>
    <w:rsid w:val="52BAB5C1"/>
    <w:rsid w:val="52DA1107"/>
    <w:rsid w:val="5492949D"/>
    <w:rsid w:val="572AA339"/>
    <w:rsid w:val="579CF4B1"/>
    <w:rsid w:val="58669CAF"/>
    <w:rsid w:val="59E5DAE8"/>
    <w:rsid w:val="5C0F0E15"/>
    <w:rsid w:val="5CB8C215"/>
    <w:rsid w:val="5DB95197"/>
    <w:rsid w:val="5F7140D0"/>
    <w:rsid w:val="5FE6C708"/>
    <w:rsid w:val="6037F0B0"/>
    <w:rsid w:val="61B18B43"/>
    <w:rsid w:val="63EDFDD4"/>
    <w:rsid w:val="644BD530"/>
    <w:rsid w:val="647854A0"/>
    <w:rsid w:val="661014DE"/>
    <w:rsid w:val="662B6D90"/>
    <w:rsid w:val="6640DBEC"/>
    <w:rsid w:val="681FD9AB"/>
    <w:rsid w:val="695EFDAD"/>
    <w:rsid w:val="6989AC4C"/>
    <w:rsid w:val="69964298"/>
    <w:rsid w:val="6AC62051"/>
    <w:rsid w:val="6AFA2CD4"/>
    <w:rsid w:val="6B677045"/>
    <w:rsid w:val="6D568603"/>
    <w:rsid w:val="6DC66528"/>
    <w:rsid w:val="6DEB3F1C"/>
    <w:rsid w:val="6E10DC95"/>
    <w:rsid w:val="6E1A988A"/>
    <w:rsid w:val="6E53FBB2"/>
    <w:rsid w:val="6F6E3C3D"/>
    <w:rsid w:val="7379B984"/>
    <w:rsid w:val="76CE2312"/>
    <w:rsid w:val="788FD31E"/>
    <w:rsid w:val="7CDED47E"/>
    <w:rsid w:val="7D17D5E2"/>
    <w:rsid w:val="7DD4F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C5332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806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E99"/>
    <w:pPr>
      <w:keepNext/>
      <w:spacing w:before="120" w:after="240" w:line="320" w:lineRule="exact"/>
      <w:outlineLvl w:val="0"/>
    </w:pPr>
    <w:rPr>
      <w:rFonts w:eastAsia="SimSun" w:cs="Arial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6DE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71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71A8"/>
  </w:style>
  <w:style w:type="paragraph" w:styleId="Footer">
    <w:name w:val="footer"/>
    <w:basedOn w:val="Normal"/>
    <w:link w:val="FooterChar"/>
    <w:uiPriority w:val="99"/>
    <w:unhideWhenUsed/>
    <w:rsid w:val="00BB71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1A8"/>
  </w:style>
  <w:style w:type="character" w:styleId="PageNumber">
    <w:name w:val="page number"/>
    <w:basedOn w:val="DefaultParagraphFont"/>
    <w:uiPriority w:val="99"/>
    <w:semiHidden/>
    <w:unhideWhenUsed/>
    <w:rsid w:val="00CD41F9"/>
  </w:style>
  <w:style w:type="character" w:styleId="Hyperlink">
    <w:name w:val="Hyperlink"/>
    <w:basedOn w:val="DefaultParagraphFont"/>
    <w:uiPriority w:val="99"/>
    <w:unhideWhenUsed/>
    <w:rsid w:val="00676E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76EC3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7676DE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676DE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customStyle="1" w:styleId="AGH1">
    <w:name w:val="AGH 1"/>
    <w:basedOn w:val="Normal"/>
    <w:link w:val="AGH1Char"/>
    <w:qFormat/>
    <w:rsid w:val="007676DE"/>
    <w:pPr>
      <w:numPr>
        <w:numId w:val="4"/>
      </w:numPr>
      <w:spacing w:after="200" w:line="276" w:lineRule="auto"/>
    </w:pPr>
    <w:rPr>
      <w:sz w:val="22"/>
      <w:szCs w:val="22"/>
      <w:lang w:val="en-GB"/>
    </w:rPr>
  </w:style>
  <w:style w:type="character" w:customStyle="1" w:styleId="AGH1Char">
    <w:name w:val="AGH 1 Char"/>
    <w:basedOn w:val="DefaultParagraphFont"/>
    <w:link w:val="AGH1"/>
    <w:rsid w:val="007676DE"/>
    <w:rPr>
      <w:sz w:val="22"/>
      <w:szCs w:val="22"/>
      <w:lang w:val="en-GB"/>
    </w:rPr>
  </w:style>
  <w:style w:type="paragraph" w:customStyle="1" w:styleId="AGH2">
    <w:name w:val="AGH 2"/>
    <w:basedOn w:val="ListParagraph"/>
    <w:link w:val="AGH2Char"/>
    <w:qFormat/>
    <w:rsid w:val="007676DE"/>
    <w:pPr>
      <w:numPr>
        <w:numId w:val="5"/>
      </w:numPr>
      <w:tabs>
        <w:tab w:val="left" w:pos="567"/>
      </w:tabs>
      <w:spacing w:before="120" w:after="0"/>
      <w:contextualSpacing w:val="0"/>
    </w:pPr>
    <w:rPr>
      <w:rFonts w:eastAsia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676DE"/>
    <w:rPr>
      <w:sz w:val="22"/>
      <w:szCs w:val="22"/>
      <w:lang w:val="en-GB"/>
    </w:rPr>
  </w:style>
  <w:style w:type="character" w:customStyle="1" w:styleId="AGH2Char">
    <w:name w:val="AGH 2 Char"/>
    <w:link w:val="AGH2"/>
    <w:rsid w:val="007676DE"/>
    <w:rPr>
      <w:rFonts w:ascii="Arial" w:eastAsia="Times New Roman" w:hAnsi="Arial" w:cs="Times New Roman"/>
      <w:szCs w:val="2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676DE"/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676DE"/>
    <w:rPr>
      <w:rFonts w:ascii="Consolas" w:eastAsia="Calibri" w:hAnsi="Consolas" w:cs="Times New Roman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1E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D527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0E99"/>
    <w:rPr>
      <w:rFonts w:ascii="Arial" w:eastAsia="SimSun" w:hAnsi="Arial" w:cs="Arial"/>
      <w:b/>
      <w:bCs/>
      <w:sz w:val="28"/>
      <w:szCs w:val="28"/>
      <w:lang w:val="en-GB"/>
    </w:rPr>
  </w:style>
  <w:style w:type="character" w:customStyle="1" w:styleId="normaltextrun">
    <w:name w:val="normaltextrun"/>
    <w:basedOn w:val="DefaultParagraphFont"/>
    <w:uiPriority w:val="1"/>
    <w:rsid w:val="203EBF40"/>
    <w:rPr>
      <w:rFonts w:asciiTheme="minorHAnsi" w:eastAsiaTheme="minorEastAsia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E1786"/>
  </w:style>
  <w:style w:type="character" w:styleId="UnresolvedMention">
    <w:name w:val="Unresolved Mention"/>
    <w:basedOn w:val="DefaultParagraphFont"/>
    <w:uiPriority w:val="99"/>
    <w:semiHidden/>
    <w:unhideWhenUsed/>
    <w:rsid w:val="0084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documentcentre.napier.ac.uk/-/media/files/academic-policies/quality-framework/qualityframeworksection1curriculummanagement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documentcentre.napier.ac.uk/-/media/files/academic-policies/quality-framework/qualityframeworksection0bappointingexternalacademicpeers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cumentcentre.napier.ac.uk/-/media/files/academic-policies/quality-framework/qualityframeworksection0aschoolresponsibilities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tyles" Target="styles.xml"/><Relationship Id="rId15" Type="http://schemas.openxmlformats.org/officeDocument/2006/relationships/hyperlink" Target="https://documentcentre.napier.ac.uk/-/media/files/academic-policies/quality-framework/qualityframeworksection0introduction.pdf" TargetMode="External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s://documentcentre.napier.ac.uk/-/media/files/academic-policies/quality-framework/qualityframeworksection4gadditionalmonitoringandreviewactiviti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umentcentre.napier.ac.uk/-/media/files/academic-policies/quality-framework/qualityframeworksection2internalmonitoringandreview.pdf" TargetMode="Externa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0e3c1-561f-4023-a680-37721cd7b97c">
      <Terms xmlns="http://schemas.microsoft.com/office/infopath/2007/PartnerControls"/>
    </lcf76f155ced4ddcb4097134ff3c332f>
    <TaxCatchAll xmlns="5b731f30-0812-4fbb-b9d3-e37f5f8551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ABE62C9BA874390CB745CC1060C42" ma:contentTypeVersion="11" ma:contentTypeDescription="Create a new document." ma:contentTypeScope="" ma:versionID="247f0ff799b5c2d0eeb7978c6f3e8e21">
  <xsd:schema xmlns:xsd="http://www.w3.org/2001/XMLSchema" xmlns:xs="http://www.w3.org/2001/XMLSchema" xmlns:p="http://schemas.microsoft.com/office/2006/metadata/properties" xmlns:ns2="9130e3c1-561f-4023-a680-37721cd7b97c" xmlns:ns3="5b731f30-0812-4fbb-b9d3-e37f5f8551c9" targetNamespace="http://schemas.microsoft.com/office/2006/metadata/properties" ma:root="true" ma:fieldsID="3747b3e51c3286935a58fcb8e6cf500b" ns2:_="" ns3:_="">
    <xsd:import namespace="9130e3c1-561f-4023-a680-37721cd7b97c"/>
    <xsd:import namespace="5b731f30-0812-4fbb-b9d3-e37f5f855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0e3c1-561f-4023-a680-37721cd7b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31f30-0812-4fbb-b9d3-e37f5f8551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c77dd5-32f4-4b83-966e-d28f2ab3ffaf}" ma:internalName="TaxCatchAll" ma:showField="CatchAllData" ma:web="5b731f30-0812-4fbb-b9d3-e37f5f855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BA7A8-0FFC-432B-B511-6A5130897273}">
  <ds:schemaRefs>
    <ds:schemaRef ds:uri="5b731f30-0812-4fbb-b9d3-e37f5f8551c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9130e3c1-561f-4023-a680-37721cd7b97c"/>
  </ds:schemaRefs>
</ds:datastoreItem>
</file>

<file path=customXml/itemProps2.xml><?xml version="1.0" encoding="utf-8"?>
<ds:datastoreItem xmlns:ds="http://schemas.openxmlformats.org/officeDocument/2006/customXml" ds:itemID="{580D7E63-B0D6-4AB4-9880-8C5E55E6D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7790A-A01B-47F1-BC9A-FEDED0BB3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0e3c1-561f-4023-a680-37721cd7b97c"/>
    <ds:schemaRef ds:uri="5b731f30-0812-4fbb-b9d3-e37f5f855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1250</Words>
  <Characters>7128</Characters>
  <Application>Microsoft Office Word</Application>
  <DocSecurity>4</DocSecurity>
  <Lines>59</Lines>
  <Paragraphs>16</Paragraphs>
  <ScaleCrop>false</ScaleCrop>
  <Company>Edinburgh Napier University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Kinloch, Jane</cp:lastModifiedBy>
  <cp:revision>2</cp:revision>
  <cp:lastPrinted>2020-10-12T08:08:00Z</cp:lastPrinted>
  <dcterms:created xsi:type="dcterms:W3CDTF">2024-12-17T15:03:00Z</dcterms:created>
  <dcterms:modified xsi:type="dcterms:W3CDTF">2024-12-17T15:03:00Z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0x01010015BABE62C9BA874390CB745CC1060C42</vt:lpwstr>
  </property>
  <property fmtid="{D5CDD505-2E9C-101B-9397-08002B2CF9AE}" pid="3" name="MediaServiceImageTags">
    <vt:lpwstr/>
  </property>
</Properties>
</file>