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9E3C" w14:textId="77777777" w:rsidR="00A87F8A" w:rsidRDefault="00A87F8A" w:rsidP="007A0570">
      <w:pPr>
        <w:pStyle w:val="Heading5"/>
        <w:spacing w:before="0"/>
        <w:rPr>
          <w:rFonts w:ascii="Arial" w:hAnsi="Arial" w:cs="Arial"/>
          <w:b/>
          <w:color w:val="auto"/>
          <w:u w:val="single"/>
        </w:rPr>
      </w:pPr>
      <w:bookmarkStart w:id="0" w:name="_GoBack"/>
      <w:bookmarkEnd w:id="0"/>
    </w:p>
    <w:p w14:paraId="5A133159" w14:textId="77777777" w:rsidR="00A87F8A" w:rsidRDefault="00A87F8A" w:rsidP="007A0570">
      <w:pPr>
        <w:pStyle w:val="Heading5"/>
        <w:spacing w:before="0"/>
        <w:rPr>
          <w:rFonts w:ascii="Arial" w:hAnsi="Arial" w:cs="Arial"/>
          <w:b/>
          <w:color w:val="auto"/>
          <w:u w:val="single"/>
        </w:rPr>
      </w:pPr>
    </w:p>
    <w:p w14:paraId="2D58FD19" w14:textId="77777777" w:rsidR="00A87F8A" w:rsidRDefault="00A87F8A" w:rsidP="007A0570">
      <w:pPr>
        <w:pStyle w:val="Heading5"/>
        <w:spacing w:before="0"/>
        <w:rPr>
          <w:rFonts w:ascii="Arial" w:hAnsi="Arial" w:cs="Arial"/>
          <w:b/>
          <w:color w:val="auto"/>
          <w:u w:val="single"/>
        </w:rPr>
      </w:pPr>
      <w:r>
        <w:rPr>
          <w:rFonts w:ascii="Arial" w:hAnsi="Arial" w:cs="Arial"/>
          <w:b/>
          <w:noProof/>
          <w:spacing w:val="-3"/>
          <w:lang w:eastAsia="en-GB"/>
        </w:rPr>
        <w:drawing>
          <wp:anchor distT="0" distB="0" distL="114300" distR="114300" simplePos="0" relativeHeight="251738112" behindDoc="0" locked="0" layoutInCell="1" allowOverlap="1" wp14:anchorId="1CAD8A6D" wp14:editId="48A42D05">
            <wp:simplePos x="0" y="0"/>
            <wp:positionH relativeFrom="column">
              <wp:posOffset>4694945</wp:posOffset>
            </wp:positionH>
            <wp:positionV relativeFrom="paragraph">
              <wp:posOffset>699</wp:posOffset>
            </wp:positionV>
            <wp:extent cx="1619250" cy="495300"/>
            <wp:effectExtent l="0" t="0" r="0" b="0"/>
            <wp:wrapSquare wrapText="bothSides"/>
            <wp:docPr id="12" name="Picture 3" descr="ENU_Logo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U_Logo_CMY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272C9" w14:textId="77777777" w:rsidR="00A87F8A" w:rsidRDefault="00A87F8A" w:rsidP="007A0570">
      <w:pPr>
        <w:pStyle w:val="Heading5"/>
        <w:spacing w:before="0"/>
        <w:rPr>
          <w:rFonts w:ascii="Arial" w:hAnsi="Arial" w:cs="Arial"/>
          <w:b/>
          <w:color w:val="auto"/>
          <w:u w:val="single"/>
        </w:rPr>
      </w:pPr>
    </w:p>
    <w:p w14:paraId="752A6687" w14:textId="77777777" w:rsidR="00A87F8A" w:rsidRDefault="00A87F8A" w:rsidP="007A0570">
      <w:pPr>
        <w:pStyle w:val="Heading5"/>
        <w:spacing w:before="0"/>
        <w:rPr>
          <w:rFonts w:ascii="Arial" w:hAnsi="Arial" w:cs="Arial"/>
          <w:b/>
          <w:color w:val="auto"/>
          <w:u w:val="single"/>
        </w:rPr>
      </w:pPr>
    </w:p>
    <w:p w14:paraId="76AC3D41" w14:textId="77777777" w:rsidR="007A0570" w:rsidRPr="008430A2" w:rsidRDefault="007A0570" w:rsidP="00A87F8A">
      <w:pPr>
        <w:pStyle w:val="Heading5"/>
        <w:spacing w:before="0"/>
        <w:jc w:val="center"/>
        <w:rPr>
          <w:rFonts w:ascii="Arial" w:hAnsi="Arial" w:cs="Arial"/>
          <w:b/>
          <w:i/>
          <w:color w:val="auto"/>
          <w:u w:val="single"/>
        </w:rPr>
      </w:pPr>
      <w:r w:rsidRPr="00381816">
        <w:rPr>
          <w:rFonts w:ascii="Arial" w:hAnsi="Arial" w:cs="Arial"/>
          <w:b/>
          <w:color w:val="auto"/>
          <w:u w:val="single"/>
        </w:rPr>
        <w:t>THE UNIVERS</w:t>
      </w:r>
      <w:r w:rsidR="00881BC1">
        <w:rPr>
          <w:rFonts w:ascii="Arial" w:hAnsi="Arial" w:cs="Arial"/>
          <w:b/>
          <w:color w:val="auto"/>
          <w:u w:val="single"/>
        </w:rPr>
        <w:t>ITY’S ACADEMIC REGULATIONS: 201</w:t>
      </w:r>
      <w:r w:rsidR="000B41CB">
        <w:rPr>
          <w:rFonts w:ascii="Arial" w:hAnsi="Arial" w:cs="Arial"/>
          <w:b/>
          <w:color w:val="auto"/>
          <w:u w:val="single"/>
        </w:rPr>
        <w:t>8</w:t>
      </w:r>
      <w:r w:rsidR="00881BC1">
        <w:rPr>
          <w:rFonts w:ascii="Arial" w:hAnsi="Arial" w:cs="Arial"/>
          <w:b/>
          <w:color w:val="auto"/>
          <w:u w:val="single"/>
        </w:rPr>
        <w:t>-1</w:t>
      </w:r>
      <w:r w:rsidR="000B41CB">
        <w:rPr>
          <w:rFonts w:ascii="Arial" w:hAnsi="Arial" w:cs="Arial"/>
          <w:b/>
          <w:color w:val="auto"/>
          <w:u w:val="single"/>
        </w:rPr>
        <w:t>9</w:t>
      </w:r>
    </w:p>
    <w:p w14:paraId="48B6DC53" w14:textId="77777777" w:rsidR="007A0570" w:rsidRDefault="007A0570" w:rsidP="007A0570">
      <w:pPr>
        <w:tabs>
          <w:tab w:val="left" w:pos="567"/>
        </w:tabs>
        <w:rPr>
          <w:rFonts w:ascii="Arial" w:hAnsi="Arial" w:cs="Arial"/>
          <w:b/>
          <w:spacing w:val="-3"/>
        </w:rPr>
      </w:pPr>
    </w:p>
    <w:p w14:paraId="2A2F43C8" w14:textId="77777777" w:rsidR="007A0570" w:rsidRPr="00652957" w:rsidRDefault="007A0570" w:rsidP="00C31B3B">
      <w:pPr>
        <w:tabs>
          <w:tab w:val="left" w:pos="567"/>
        </w:tabs>
        <w:jc w:val="center"/>
        <w:rPr>
          <w:rFonts w:ascii="Arial" w:hAnsi="Arial" w:cs="Arial"/>
          <w:b/>
          <w:spacing w:val="-3"/>
        </w:rPr>
      </w:pPr>
      <w:r>
        <w:rPr>
          <w:rFonts w:ascii="Arial" w:hAnsi="Arial" w:cs="Arial"/>
          <w:b/>
          <w:spacing w:val="-3"/>
        </w:rPr>
        <w:t>EXTENUATING CIRCUMSTANCES REGULATIONS</w:t>
      </w:r>
    </w:p>
    <w:p w14:paraId="72480B26" w14:textId="77777777" w:rsidR="007A0570" w:rsidRPr="001958F5" w:rsidRDefault="007A0570" w:rsidP="007A0570">
      <w:pPr>
        <w:rPr>
          <w:rFonts w:ascii="Arial" w:hAnsi="Arial" w:cs="Arial"/>
          <w:bCs/>
          <w:color w:val="000000"/>
          <w:lang w:eastAsia="en-GB"/>
        </w:rPr>
      </w:pPr>
    </w:p>
    <w:tbl>
      <w:tblPr>
        <w:tblW w:w="0" w:type="auto"/>
        <w:jc w:val="center"/>
        <w:tblLook w:val="04A0" w:firstRow="1" w:lastRow="0" w:firstColumn="1" w:lastColumn="0" w:noHBand="0" w:noVBand="1"/>
      </w:tblPr>
      <w:tblGrid>
        <w:gridCol w:w="604"/>
        <w:gridCol w:w="1017"/>
        <w:gridCol w:w="1669"/>
        <w:gridCol w:w="4525"/>
        <w:gridCol w:w="386"/>
        <w:gridCol w:w="879"/>
      </w:tblGrid>
      <w:tr w:rsidR="007A0570" w:rsidRPr="001958F5" w14:paraId="157A1AAD" w14:textId="77777777" w:rsidTr="00F51533">
        <w:trPr>
          <w:jc w:val="center"/>
        </w:trPr>
        <w:tc>
          <w:tcPr>
            <w:tcW w:w="3290" w:type="dxa"/>
            <w:gridSpan w:val="3"/>
          </w:tcPr>
          <w:p w14:paraId="50E0932F" w14:textId="77777777" w:rsidR="007A0570" w:rsidRPr="001958F5" w:rsidRDefault="007A0570" w:rsidP="001A22AF">
            <w:pPr>
              <w:ind w:hanging="81"/>
              <w:rPr>
                <w:rFonts w:ascii="Arial" w:hAnsi="Arial" w:cs="Arial"/>
                <w:b/>
                <w:bCs/>
                <w:color w:val="000000"/>
                <w:u w:val="single"/>
                <w:lang w:eastAsia="en-GB"/>
              </w:rPr>
            </w:pPr>
            <w:r w:rsidRPr="001958F5">
              <w:rPr>
                <w:rFonts w:ascii="Arial" w:hAnsi="Arial" w:cs="Arial"/>
                <w:b/>
                <w:bCs/>
                <w:color w:val="000000"/>
                <w:u w:val="single"/>
                <w:lang w:eastAsia="en-GB"/>
              </w:rPr>
              <w:t>Contents</w:t>
            </w:r>
          </w:p>
        </w:tc>
        <w:tc>
          <w:tcPr>
            <w:tcW w:w="4525" w:type="dxa"/>
          </w:tcPr>
          <w:p w14:paraId="527B5EF2" w14:textId="77777777" w:rsidR="007A0570" w:rsidRPr="001958F5" w:rsidRDefault="007A0570" w:rsidP="001A22AF">
            <w:pPr>
              <w:rPr>
                <w:rFonts w:ascii="Arial" w:hAnsi="Arial" w:cs="Arial"/>
                <w:bCs/>
                <w:color w:val="000000"/>
                <w:u w:val="single"/>
                <w:lang w:eastAsia="en-GB"/>
              </w:rPr>
            </w:pPr>
          </w:p>
        </w:tc>
        <w:tc>
          <w:tcPr>
            <w:tcW w:w="386" w:type="dxa"/>
          </w:tcPr>
          <w:p w14:paraId="61F640D4" w14:textId="77777777" w:rsidR="007A0570" w:rsidRPr="001958F5" w:rsidRDefault="007A0570" w:rsidP="001A22AF">
            <w:pPr>
              <w:rPr>
                <w:rFonts w:ascii="Arial" w:hAnsi="Arial" w:cs="Arial"/>
                <w:bCs/>
                <w:color w:val="000000"/>
                <w:u w:val="single"/>
                <w:lang w:eastAsia="en-GB"/>
              </w:rPr>
            </w:pPr>
          </w:p>
        </w:tc>
        <w:tc>
          <w:tcPr>
            <w:tcW w:w="879" w:type="dxa"/>
          </w:tcPr>
          <w:p w14:paraId="3F21F9D4" w14:textId="77777777" w:rsidR="007A0570" w:rsidRPr="001958F5" w:rsidRDefault="007A0570" w:rsidP="001A22AF">
            <w:pPr>
              <w:jc w:val="center"/>
              <w:rPr>
                <w:rFonts w:ascii="Arial" w:hAnsi="Arial" w:cs="Arial"/>
                <w:b/>
                <w:bCs/>
                <w:color w:val="000000"/>
                <w:u w:val="single"/>
                <w:lang w:eastAsia="en-GB"/>
              </w:rPr>
            </w:pPr>
            <w:r w:rsidRPr="001958F5">
              <w:rPr>
                <w:rFonts w:ascii="Arial" w:hAnsi="Arial" w:cs="Arial"/>
                <w:b/>
                <w:bCs/>
                <w:color w:val="000000"/>
                <w:u w:val="single"/>
                <w:lang w:eastAsia="en-GB"/>
              </w:rPr>
              <w:t>Page</w:t>
            </w:r>
          </w:p>
        </w:tc>
      </w:tr>
      <w:tr w:rsidR="007A0570" w:rsidRPr="002251AA" w14:paraId="3C28F363" w14:textId="77777777" w:rsidTr="00F51533">
        <w:trPr>
          <w:jc w:val="center"/>
        </w:trPr>
        <w:tc>
          <w:tcPr>
            <w:tcW w:w="604" w:type="dxa"/>
          </w:tcPr>
          <w:p w14:paraId="085E1E77" w14:textId="77777777" w:rsidR="007A0570" w:rsidRPr="002251AA" w:rsidRDefault="007A0570" w:rsidP="001A22AF">
            <w:pPr>
              <w:rPr>
                <w:rFonts w:ascii="Arial" w:hAnsi="Arial" w:cs="Arial"/>
                <w:bCs/>
                <w:color w:val="000000"/>
                <w:lang w:eastAsia="en-GB"/>
              </w:rPr>
            </w:pPr>
          </w:p>
        </w:tc>
        <w:tc>
          <w:tcPr>
            <w:tcW w:w="7211" w:type="dxa"/>
            <w:gridSpan w:val="3"/>
          </w:tcPr>
          <w:p w14:paraId="1DC376E0" w14:textId="77777777" w:rsidR="007A0570" w:rsidRPr="002251AA" w:rsidRDefault="007A0570" w:rsidP="001A22AF">
            <w:pPr>
              <w:rPr>
                <w:rFonts w:ascii="Arial" w:hAnsi="Arial" w:cs="Arial"/>
                <w:bCs/>
                <w:color w:val="000000"/>
                <w:lang w:eastAsia="en-GB"/>
              </w:rPr>
            </w:pPr>
          </w:p>
        </w:tc>
        <w:tc>
          <w:tcPr>
            <w:tcW w:w="386" w:type="dxa"/>
          </w:tcPr>
          <w:p w14:paraId="6EB43954" w14:textId="77777777" w:rsidR="007A0570" w:rsidRPr="002251AA" w:rsidRDefault="007A0570" w:rsidP="001A22AF">
            <w:pPr>
              <w:rPr>
                <w:rFonts w:ascii="Arial" w:hAnsi="Arial" w:cs="Arial"/>
                <w:bCs/>
                <w:color w:val="000000"/>
                <w:lang w:eastAsia="en-GB"/>
              </w:rPr>
            </w:pPr>
          </w:p>
        </w:tc>
        <w:tc>
          <w:tcPr>
            <w:tcW w:w="879" w:type="dxa"/>
          </w:tcPr>
          <w:p w14:paraId="13083013" w14:textId="77777777" w:rsidR="007A0570" w:rsidRPr="002251AA" w:rsidRDefault="007A0570" w:rsidP="001A22AF">
            <w:pPr>
              <w:rPr>
                <w:rFonts w:ascii="Arial" w:hAnsi="Arial" w:cs="Arial"/>
                <w:bCs/>
                <w:color w:val="000000"/>
                <w:lang w:eastAsia="en-GB"/>
              </w:rPr>
            </w:pPr>
          </w:p>
        </w:tc>
      </w:tr>
      <w:tr w:rsidR="007A0570" w:rsidRPr="00652957" w14:paraId="4ECDB77E" w14:textId="77777777" w:rsidTr="00F51533">
        <w:trPr>
          <w:jc w:val="center"/>
        </w:trPr>
        <w:tc>
          <w:tcPr>
            <w:tcW w:w="604" w:type="dxa"/>
          </w:tcPr>
          <w:p w14:paraId="0A0DF66F"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1</w:t>
            </w:r>
          </w:p>
        </w:tc>
        <w:tc>
          <w:tcPr>
            <w:tcW w:w="7211" w:type="dxa"/>
            <w:gridSpan w:val="3"/>
          </w:tcPr>
          <w:p w14:paraId="54B3AF27" w14:textId="77777777" w:rsidR="007A0570" w:rsidRDefault="007A0570" w:rsidP="001A22AF">
            <w:pPr>
              <w:rPr>
                <w:rFonts w:ascii="Arial" w:hAnsi="Arial" w:cs="Arial"/>
                <w:b/>
                <w:bCs/>
                <w:color w:val="000000"/>
                <w:lang w:eastAsia="en-GB"/>
              </w:rPr>
            </w:pPr>
            <w:r w:rsidRPr="00652957">
              <w:rPr>
                <w:rFonts w:ascii="Arial" w:hAnsi="Arial" w:cs="Arial"/>
                <w:b/>
                <w:bCs/>
                <w:color w:val="000000"/>
                <w:lang w:eastAsia="en-GB"/>
              </w:rPr>
              <w:t xml:space="preserve">Extenuating </w:t>
            </w:r>
            <w:r>
              <w:rPr>
                <w:rFonts w:ascii="Arial" w:hAnsi="Arial" w:cs="Arial"/>
                <w:b/>
                <w:bCs/>
                <w:color w:val="000000"/>
                <w:lang w:eastAsia="en-GB"/>
              </w:rPr>
              <w:t>c</w:t>
            </w:r>
            <w:r w:rsidRPr="00652957">
              <w:rPr>
                <w:rFonts w:ascii="Arial" w:hAnsi="Arial" w:cs="Arial"/>
                <w:b/>
                <w:bCs/>
                <w:color w:val="000000"/>
                <w:lang w:eastAsia="en-GB"/>
              </w:rPr>
              <w:t>ircumstances</w:t>
            </w:r>
          </w:p>
          <w:p w14:paraId="0C53592B" w14:textId="77777777" w:rsidR="007A0570" w:rsidRDefault="007A0570" w:rsidP="001A22AF">
            <w:pPr>
              <w:rPr>
                <w:rFonts w:ascii="Arial" w:hAnsi="Arial" w:cs="Arial"/>
                <w:b/>
                <w:bCs/>
                <w:color w:val="000000"/>
                <w:lang w:eastAsia="en-GB"/>
              </w:rPr>
            </w:pPr>
          </w:p>
          <w:p w14:paraId="74906C9B" w14:textId="77777777" w:rsidR="007A0570" w:rsidRDefault="007A0570" w:rsidP="001A22AF">
            <w:pPr>
              <w:rPr>
                <w:rFonts w:ascii="Arial" w:hAnsi="Arial" w:cs="Arial"/>
                <w:b/>
                <w:bCs/>
                <w:color w:val="000000"/>
                <w:lang w:eastAsia="en-GB"/>
              </w:rPr>
            </w:pPr>
            <w:r>
              <w:rPr>
                <w:rFonts w:ascii="Arial" w:hAnsi="Arial" w:cs="Arial"/>
                <w:b/>
                <w:bCs/>
                <w:color w:val="000000"/>
                <w:lang w:eastAsia="en-GB"/>
              </w:rPr>
              <w:t>EC1.1 Definition of Extenuating Circumstances</w:t>
            </w:r>
          </w:p>
          <w:p w14:paraId="63A37A08" w14:textId="77777777" w:rsidR="007A0570" w:rsidRPr="00652957" w:rsidRDefault="007A0570" w:rsidP="001A22AF">
            <w:pPr>
              <w:rPr>
                <w:rFonts w:ascii="Arial" w:hAnsi="Arial" w:cs="Arial"/>
                <w:b/>
                <w:bCs/>
                <w:color w:val="000000"/>
                <w:lang w:eastAsia="en-GB"/>
              </w:rPr>
            </w:pPr>
          </w:p>
        </w:tc>
        <w:tc>
          <w:tcPr>
            <w:tcW w:w="386" w:type="dxa"/>
            <w:tcBorders>
              <w:left w:val="nil"/>
            </w:tcBorders>
          </w:tcPr>
          <w:p w14:paraId="118D6B56" w14:textId="77777777" w:rsidR="007A0570" w:rsidRPr="002251AA" w:rsidRDefault="007A0570" w:rsidP="001A22AF">
            <w:pPr>
              <w:rPr>
                <w:rFonts w:ascii="Arial" w:hAnsi="Arial" w:cs="Arial"/>
                <w:bCs/>
                <w:color w:val="000000"/>
                <w:lang w:eastAsia="en-GB"/>
              </w:rPr>
            </w:pPr>
          </w:p>
        </w:tc>
        <w:tc>
          <w:tcPr>
            <w:tcW w:w="879" w:type="dxa"/>
          </w:tcPr>
          <w:p w14:paraId="795B8154" w14:textId="77777777" w:rsidR="007A0570" w:rsidRDefault="007A0570" w:rsidP="001A22AF">
            <w:pPr>
              <w:jc w:val="center"/>
              <w:rPr>
                <w:rFonts w:ascii="Arial" w:hAnsi="Arial" w:cs="Arial"/>
                <w:b/>
                <w:bCs/>
                <w:color w:val="000000"/>
                <w:lang w:eastAsia="en-GB"/>
              </w:rPr>
            </w:pPr>
          </w:p>
          <w:p w14:paraId="467D7178" w14:textId="77777777" w:rsidR="007A0570" w:rsidRDefault="007A0570" w:rsidP="001A22AF">
            <w:pPr>
              <w:jc w:val="center"/>
              <w:rPr>
                <w:rFonts w:ascii="Arial" w:hAnsi="Arial" w:cs="Arial"/>
                <w:b/>
                <w:bCs/>
                <w:color w:val="000000"/>
                <w:lang w:eastAsia="en-GB"/>
              </w:rPr>
            </w:pPr>
          </w:p>
          <w:p w14:paraId="5576EF78" w14:textId="77777777" w:rsidR="007A0570" w:rsidRPr="00506D4E" w:rsidRDefault="007A0570" w:rsidP="00F51533">
            <w:pPr>
              <w:rPr>
                <w:rFonts w:ascii="Arial" w:hAnsi="Arial" w:cs="Arial"/>
                <w:b/>
                <w:bCs/>
                <w:color w:val="000000"/>
                <w:lang w:eastAsia="en-GB"/>
              </w:rPr>
            </w:pPr>
          </w:p>
        </w:tc>
      </w:tr>
      <w:tr w:rsidR="007A0570" w:rsidRPr="00652957" w14:paraId="7DFEF405" w14:textId="77777777" w:rsidTr="00F51533">
        <w:trPr>
          <w:jc w:val="center"/>
        </w:trPr>
        <w:tc>
          <w:tcPr>
            <w:tcW w:w="604" w:type="dxa"/>
          </w:tcPr>
          <w:p w14:paraId="45054200" w14:textId="77777777" w:rsidR="007A0570" w:rsidRPr="002251AA" w:rsidRDefault="007A0570" w:rsidP="001A22AF">
            <w:pPr>
              <w:rPr>
                <w:rFonts w:ascii="Arial" w:hAnsi="Arial" w:cs="Arial"/>
                <w:bCs/>
                <w:color w:val="000000"/>
                <w:lang w:eastAsia="en-GB"/>
              </w:rPr>
            </w:pPr>
          </w:p>
        </w:tc>
        <w:tc>
          <w:tcPr>
            <w:tcW w:w="1017" w:type="dxa"/>
          </w:tcPr>
          <w:p w14:paraId="75C1E30C"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1.</w:t>
            </w:r>
            <w:r>
              <w:rPr>
                <w:rFonts w:ascii="Arial" w:hAnsi="Arial" w:cs="Arial"/>
                <w:bCs/>
                <w:color w:val="000000"/>
                <w:lang w:eastAsia="en-GB"/>
              </w:rPr>
              <w:t>2</w:t>
            </w:r>
          </w:p>
        </w:tc>
        <w:tc>
          <w:tcPr>
            <w:tcW w:w="6194" w:type="dxa"/>
            <w:gridSpan w:val="2"/>
          </w:tcPr>
          <w:p w14:paraId="2A303687"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Fit to Sit</w:t>
            </w:r>
          </w:p>
        </w:tc>
        <w:tc>
          <w:tcPr>
            <w:tcW w:w="386" w:type="dxa"/>
            <w:tcBorders>
              <w:left w:val="nil"/>
            </w:tcBorders>
          </w:tcPr>
          <w:p w14:paraId="16A89391" w14:textId="77777777" w:rsidR="007A0570" w:rsidRPr="002251AA" w:rsidRDefault="007A0570" w:rsidP="001A22AF">
            <w:pPr>
              <w:rPr>
                <w:rFonts w:ascii="Arial" w:hAnsi="Arial" w:cs="Arial"/>
                <w:bCs/>
                <w:color w:val="000000"/>
                <w:lang w:eastAsia="en-GB"/>
              </w:rPr>
            </w:pPr>
          </w:p>
        </w:tc>
        <w:tc>
          <w:tcPr>
            <w:tcW w:w="879" w:type="dxa"/>
          </w:tcPr>
          <w:p w14:paraId="5C31CFD5"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2</w:t>
            </w:r>
          </w:p>
        </w:tc>
      </w:tr>
      <w:tr w:rsidR="007A0570" w:rsidRPr="00652957" w14:paraId="59394BAC" w14:textId="77777777" w:rsidTr="00F51533">
        <w:trPr>
          <w:jc w:val="center"/>
        </w:trPr>
        <w:tc>
          <w:tcPr>
            <w:tcW w:w="604" w:type="dxa"/>
          </w:tcPr>
          <w:p w14:paraId="38E45542" w14:textId="77777777" w:rsidR="007A0570" w:rsidRPr="002251AA" w:rsidRDefault="007A0570" w:rsidP="001A22AF">
            <w:pPr>
              <w:rPr>
                <w:rFonts w:ascii="Arial" w:hAnsi="Arial" w:cs="Arial"/>
                <w:bCs/>
                <w:color w:val="000000"/>
                <w:lang w:eastAsia="en-GB"/>
              </w:rPr>
            </w:pPr>
          </w:p>
        </w:tc>
        <w:tc>
          <w:tcPr>
            <w:tcW w:w="1017" w:type="dxa"/>
          </w:tcPr>
          <w:p w14:paraId="2AA79F1E"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1.</w:t>
            </w:r>
            <w:r>
              <w:rPr>
                <w:rFonts w:ascii="Arial" w:hAnsi="Arial" w:cs="Arial"/>
                <w:bCs/>
                <w:color w:val="000000"/>
                <w:lang w:eastAsia="en-GB"/>
              </w:rPr>
              <w:t>3</w:t>
            </w:r>
          </w:p>
        </w:tc>
        <w:tc>
          <w:tcPr>
            <w:tcW w:w="6194" w:type="dxa"/>
            <w:gridSpan w:val="2"/>
          </w:tcPr>
          <w:p w14:paraId="7B900914"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Deferral of Assessment</w:t>
            </w:r>
          </w:p>
        </w:tc>
        <w:tc>
          <w:tcPr>
            <w:tcW w:w="386" w:type="dxa"/>
            <w:tcBorders>
              <w:left w:val="nil"/>
            </w:tcBorders>
          </w:tcPr>
          <w:p w14:paraId="5FB93388" w14:textId="77777777" w:rsidR="007A0570" w:rsidRPr="002251AA" w:rsidRDefault="007A0570" w:rsidP="001A22AF">
            <w:pPr>
              <w:rPr>
                <w:rFonts w:ascii="Arial" w:hAnsi="Arial" w:cs="Arial"/>
                <w:bCs/>
                <w:color w:val="000000"/>
                <w:lang w:eastAsia="en-GB"/>
              </w:rPr>
            </w:pPr>
          </w:p>
        </w:tc>
        <w:tc>
          <w:tcPr>
            <w:tcW w:w="879" w:type="dxa"/>
          </w:tcPr>
          <w:p w14:paraId="5EFADE91"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2</w:t>
            </w:r>
          </w:p>
        </w:tc>
      </w:tr>
      <w:tr w:rsidR="007A0570" w:rsidRPr="00652957" w14:paraId="1218E283" w14:textId="77777777" w:rsidTr="00F51533">
        <w:trPr>
          <w:trHeight w:val="80"/>
          <w:jc w:val="center"/>
        </w:trPr>
        <w:tc>
          <w:tcPr>
            <w:tcW w:w="604" w:type="dxa"/>
          </w:tcPr>
          <w:p w14:paraId="0618EE03" w14:textId="77777777" w:rsidR="007A0570" w:rsidRPr="002251AA" w:rsidRDefault="007A0570" w:rsidP="001A22AF">
            <w:pPr>
              <w:rPr>
                <w:rFonts w:ascii="Arial" w:hAnsi="Arial" w:cs="Arial"/>
                <w:bCs/>
                <w:color w:val="000000"/>
                <w:lang w:eastAsia="en-GB"/>
              </w:rPr>
            </w:pPr>
          </w:p>
        </w:tc>
        <w:tc>
          <w:tcPr>
            <w:tcW w:w="1017" w:type="dxa"/>
          </w:tcPr>
          <w:p w14:paraId="056FAB7B"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1.</w:t>
            </w:r>
            <w:r>
              <w:rPr>
                <w:rFonts w:ascii="Arial" w:hAnsi="Arial" w:cs="Arial"/>
                <w:bCs/>
                <w:color w:val="000000"/>
                <w:lang w:eastAsia="en-GB"/>
              </w:rPr>
              <w:t>4</w:t>
            </w:r>
          </w:p>
        </w:tc>
        <w:tc>
          <w:tcPr>
            <w:tcW w:w="6194" w:type="dxa"/>
            <w:gridSpan w:val="2"/>
          </w:tcPr>
          <w:p w14:paraId="28123E9D" w14:textId="77777777" w:rsidR="007A0570" w:rsidRPr="00652957" w:rsidRDefault="007A0570" w:rsidP="001A22AF">
            <w:pPr>
              <w:rPr>
                <w:rFonts w:ascii="Arial" w:hAnsi="Arial" w:cs="Arial"/>
                <w:bCs/>
                <w:color w:val="000000"/>
                <w:lang w:eastAsia="en-GB"/>
              </w:rPr>
            </w:pPr>
            <w:r w:rsidRPr="00652957">
              <w:rPr>
                <w:rFonts w:ascii="Arial" w:hAnsi="Arial" w:cs="Arial"/>
                <w:bCs/>
                <w:color w:val="000000"/>
                <w:lang w:eastAsia="en-GB"/>
              </w:rPr>
              <w:t>Examples of Extenuating Circumstances</w:t>
            </w:r>
          </w:p>
        </w:tc>
        <w:tc>
          <w:tcPr>
            <w:tcW w:w="386" w:type="dxa"/>
            <w:tcBorders>
              <w:left w:val="nil"/>
            </w:tcBorders>
          </w:tcPr>
          <w:p w14:paraId="5EF8D7F6" w14:textId="77777777" w:rsidR="007A0570" w:rsidRPr="002251AA" w:rsidRDefault="007A0570" w:rsidP="001A22AF">
            <w:pPr>
              <w:rPr>
                <w:rFonts w:ascii="Arial" w:hAnsi="Arial" w:cs="Arial"/>
                <w:bCs/>
                <w:color w:val="000000"/>
                <w:lang w:eastAsia="en-GB"/>
              </w:rPr>
            </w:pPr>
          </w:p>
        </w:tc>
        <w:tc>
          <w:tcPr>
            <w:tcW w:w="879" w:type="dxa"/>
          </w:tcPr>
          <w:p w14:paraId="0B81EAC9"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2</w:t>
            </w:r>
          </w:p>
        </w:tc>
      </w:tr>
      <w:tr w:rsidR="007A0570" w:rsidRPr="00652957" w14:paraId="0D50BF93" w14:textId="77777777" w:rsidTr="00F51533">
        <w:trPr>
          <w:jc w:val="center"/>
        </w:trPr>
        <w:tc>
          <w:tcPr>
            <w:tcW w:w="604" w:type="dxa"/>
          </w:tcPr>
          <w:p w14:paraId="5FB6659F" w14:textId="77777777" w:rsidR="007A0570" w:rsidRPr="002251AA" w:rsidRDefault="007A0570" w:rsidP="001A22AF">
            <w:pPr>
              <w:rPr>
                <w:rFonts w:ascii="Arial" w:hAnsi="Arial" w:cs="Arial"/>
                <w:bCs/>
                <w:color w:val="000000"/>
                <w:lang w:eastAsia="en-GB"/>
              </w:rPr>
            </w:pPr>
          </w:p>
        </w:tc>
        <w:tc>
          <w:tcPr>
            <w:tcW w:w="1017" w:type="dxa"/>
          </w:tcPr>
          <w:p w14:paraId="73658124" w14:textId="77777777" w:rsidR="007A0570" w:rsidRDefault="007A0570" w:rsidP="001A22AF">
            <w:pPr>
              <w:rPr>
                <w:rFonts w:ascii="Arial" w:hAnsi="Arial" w:cs="Arial"/>
                <w:bCs/>
                <w:color w:val="000000"/>
                <w:lang w:eastAsia="en-GB"/>
              </w:rPr>
            </w:pPr>
            <w:r>
              <w:rPr>
                <w:rFonts w:ascii="Arial" w:hAnsi="Arial" w:cs="Arial"/>
                <w:bCs/>
                <w:color w:val="000000"/>
                <w:lang w:eastAsia="en-GB"/>
              </w:rPr>
              <w:t>EC1.5</w:t>
            </w:r>
          </w:p>
        </w:tc>
        <w:tc>
          <w:tcPr>
            <w:tcW w:w="6194" w:type="dxa"/>
            <w:gridSpan w:val="2"/>
          </w:tcPr>
          <w:p w14:paraId="18183000" w14:textId="77777777" w:rsidR="007A0570" w:rsidRPr="00652957" w:rsidRDefault="007A0570" w:rsidP="001A22AF">
            <w:pPr>
              <w:rPr>
                <w:rFonts w:ascii="Arial" w:hAnsi="Arial" w:cs="Arial"/>
                <w:bCs/>
                <w:color w:val="000000"/>
                <w:lang w:eastAsia="en-GB"/>
              </w:rPr>
            </w:pPr>
            <w:r w:rsidRPr="00652957">
              <w:rPr>
                <w:rFonts w:ascii="Arial" w:hAnsi="Arial" w:cs="Arial"/>
                <w:bCs/>
                <w:color w:val="000000"/>
                <w:lang w:eastAsia="en-GB"/>
              </w:rPr>
              <w:t>Examples of Circumstances Unlikely to Merit Consideration</w:t>
            </w:r>
          </w:p>
        </w:tc>
        <w:tc>
          <w:tcPr>
            <w:tcW w:w="386" w:type="dxa"/>
            <w:tcBorders>
              <w:left w:val="nil"/>
            </w:tcBorders>
          </w:tcPr>
          <w:p w14:paraId="72F63575" w14:textId="77777777" w:rsidR="007A0570" w:rsidRPr="002251AA" w:rsidRDefault="007A0570" w:rsidP="001A22AF">
            <w:pPr>
              <w:rPr>
                <w:rFonts w:ascii="Arial" w:hAnsi="Arial" w:cs="Arial"/>
                <w:bCs/>
                <w:color w:val="000000"/>
                <w:lang w:eastAsia="en-GB"/>
              </w:rPr>
            </w:pPr>
          </w:p>
        </w:tc>
        <w:tc>
          <w:tcPr>
            <w:tcW w:w="879" w:type="dxa"/>
          </w:tcPr>
          <w:p w14:paraId="6A6DB1F4" w14:textId="77777777" w:rsidR="007A0570" w:rsidRPr="00506D4E" w:rsidRDefault="007A0570" w:rsidP="001A22AF">
            <w:pPr>
              <w:jc w:val="center"/>
              <w:rPr>
                <w:rFonts w:ascii="Arial" w:hAnsi="Arial" w:cs="Arial"/>
                <w:b/>
                <w:bCs/>
                <w:color w:val="000000"/>
                <w:lang w:eastAsia="en-GB"/>
              </w:rPr>
            </w:pPr>
            <w:r>
              <w:rPr>
                <w:rFonts w:ascii="Arial" w:hAnsi="Arial" w:cs="Arial"/>
                <w:b/>
                <w:bCs/>
                <w:color w:val="000000"/>
                <w:lang w:eastAsia="en-GB"/>
              </w:rPr>
              <w:t>3</w:t>
            </w:r>
          </w:p>
        </w:tc>
      </w:tr>
      <w:tr w:rsidR="007A0570" w:rsidRPr="00652957" w14:paraId="7BEEDA6D" w14:textId="77777777" w:rsidTr="00F51533">
        <w:trPr>
          <w:jc w:val="center"/>
        </w:trPr>
        <w:tc>
          <w:tcPr>
            <w:tcW w:w="604" w:type="dxa"/>
          </w:tcPr>
          <w:p w14:paraId="6DD22D63" w14:textId="77777777" w:rsidR="007A0570" w:rsidRPr="002251AA" w:rsidRDefault="007A0570" w:rsidP="001A22AF">
            <w:pPr>
              <w:rPr>
                <w:rFonts w:ascii="Arial" w:hAnsi="Arial" w:cs="Arial"/>
                <w:bCs/>
                <w:color w:val="000000"/>
                <w:lang w:eastAsia="en-GB"/>
              </w:rPr>
            </w:pPr>
          </w:p>
        </w:tc>
        <w:tc>
          <w:tcPr>
            <w:tcW w:w="1017" w:type="dxa"/>
          </w:tcPr>
          <w:p w14:paraId="332417A4" w14:textId="77777777" w:rsidR="007A0570" w:rsidRDefault="007A0570" w:rsidP="001A22AF">
            <w:pPr>
              <w:rPr>
                <w:rFonts w:ascii="Arial" w:hAnsi="Arial" w:cs="Arial"/>
                <w:bCs/>
                <w:color w:val="000000"/>
                <w:lang w:eastAsia="en-GB"/>
              </w:rPr>
            </w:pPr>
            <w:r>
              <w:rPr>
                <w:rFonts w:ascii="Arial" w:hAnsi="Arial" w:cs="Arial"/>
                <w:bCs/>
                <w:color w:val="000000"/>
                <w:lang w:eastAsia="en-GB"/>
              </w:rPr>
              <w:t>EC1.6</w:t>
            </w:r>
          </w:p>
        </w:tc>
        <w:tc>
          <w:tcPr>
            <w:tcW w:w="6194" w:type="dxa"/>
            <w:gridSpan w:val="2"/>
          </w:tcPr>
          <w:p w14:paraId="0AABBEFB"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Application for Deferral of Assessment</w:t>
            </w:r>
          </w:p>
        </w:tc>
        <w:tc>
          <w:tcPr>
            <w:tcW w:w="386" w:type="dxa"/>
            <w:tcBorders>
              <w:left w:val="nil"/>
            </w:tcBorders>
          </w:tcPr>
          <w:p w14:paraId="79CA52D6" w14:textId="77777777" w:rsidR="007A0570" w:rsidRPr="002251AA" w:rsidRDefault="007A0570" w:rsidP="001A22AF">
            <w:pPr>
              <w:rPr>
                <w:rFonts w:ascii="Arial" w:hAnsi="Arial" w:cs="Arial"/>
                <w:bCs/>
                <w:color w:val="000000"/>
                <w:lang w:eastAsia="en-GB"/>
              </w:rPr>
            </w:pPr>
          </w:p>
        </w:tc>
        <w:tc>
          <w:tcPr>
            <w:tcW w:w="879" w:type="dxa"/>
          </w:tcPr>
          <w:p w14:paraId="61D8C9A9" w14:textId="352C3103" w:rsidR="007A0570" w:rsidRDefault="00E60AC2" w:rsidP="001A22AF">
            <w:pPr>
              <w:jc w:val="center"/>
              <w:rPr>
                <w:rFonts w:ascii="Arial" w:hAnsi="Arial" w:cs="Arial"/>
                <w:b/>
                <w:bCs/>
                <w:color w:val="000000"/>
                <w:lang w:eastAsia="en-GB"/>
              </w:rPr>
            </w:pPr>
            <w:r>
              <w:rPr>
                <w:rFonts w:ascii="Arial" w:hAnsi="Arial" w:cs="Arial"/>
                <w:b/>
                <w:bCs/>
                <w:color w:val="000000"/>
                <w:lang w:eastAsia="en-GB"/>
              </w:rPr>
              <w:t>4</w:t>
            </w:r>
          </w:p>
          <w:p w14:paraId="54BD4437" w14:textId="77777777" w:rsidR="007A0570" w:rsidRDefault="007A0570" w:rsidP="001A22AF">
            <w:pPr>
              <w:jc w:val="center"/>
              <w:rPr>
                <w:rFonts w:ascii="Arial" w:hAnsi="Arial" w:cs="Arial"/>
                <w:b/>
                <w:bCs/>
                <w:color w:val="000000"/>
                <w:lang w:eastAsia="en-GB"/>
              </w:rPr>
            </w:pPr>
          </w:p>
        </w:tc>
      </w:tr>
      <w:tr w:rsidR="007A0570" w:rsidRPr="00652957" w14:paraId="7B0A2560" w14:textId="77777777" w:rsidTr="00F51533">
        <w:trPr>
          <w:jc w:val="center"/>
        </w:trPr>
        <w:tc>
          <w:tcPr>
            <w:tcW w:w="604" w:type="dxa"/>
          </w:tcPr>
          <w:p w14:paraId="153E8FBF"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2</w:t>
            </w:r>
          </w:p>
        </w:tc>
        <w:tc>
          <w:tcPr>
            <w:tcW w:w="7211" w:type="dxa"/>
            <w:gridSpan w:val="3"/>
          </w:tcPr>
          <w:p w14:paraId="1C1D4783" w14:textId="77777777" w:rsidR="007A0570" w:rsidRPr="00652957" w:rsidRDefault="007A0570" w:rsidP="001A22AF">
            <w:pPr>
              <w:rPr>
                <w:rFonts w:ascii="Arial" w:hAnsi="Arial" w:cs="Arial"/>
                <w:b/>
                <w:bCs/>
                <w:color w:val="000000"/>
                <w:lang w:eastAsia="en-GB"/>
              </w:rPr>
            </w:pPr>
            <w:r w:rsidRPr="00652957">
              <w:rPr>
                <w:rFonts w:ascii="Arial" w:hAnsi="Arial" w:cs="Arial"/>
                <w:b/>
                <w:bCs/>
                <w:color w:val="000000"/>
                <w:lang w:eastAsia="en-GB"/>
              </w:rPr>
              <w:t xml:space="preserve">Submission of </w:t>
            </w:r>
            <w:r>
              <w:rPr>
                <w:rFonts w:ascii="Arial" w:hAnsi="Arial" w:cs="Arial"/>
                <w:b/>
                <w:bCs/>
                <w:color w:val="000000"/>
                <w:lang w:eastAsia="en-GB"/>
              </w:rPr>
              <w:t>Applications for Deferral</w:t>
            </w:r>
          </w:p>
        </w:tc>
        <w:tc>
          <w:tcPr>
            <w:tcW w:w="386" w:type="dxa"/>
          </w:tcPr>
          <w:p w14:paraId="2A4D3E1D" w14:textId="77777777" w:rsidR="007A0570" w:rsidRPr="002251AA" w:rsidRDefault="007A0570" w:rsidP="001A22AF">
            <w:pPr>
              <w:rPr>
                <w:rFonts w:ascii="Arial" w:hAnsi="Arial" w:cs="Arial"/>
                <w:bCs/>
                <w:color w:val="000000"/>
                <w:lang w:eastAsia="en-GB"/>
              </w:rPr>
            </w:pPr>
          </w:p>
        </w:tc>
        <w:tc>
          <w:tcPr>
            <w:tcW w:w="879" w:type="dxa"/>
          </w:tcPr>
          <w:p w14:paraId="7054A9FC" w14:textId="77777777" w:rsidR="007A0570" w:rsidRPr="00506D4E" w:rsidRDefault="007A0570" w:rsidP="001A22AF">
            <w:pPr>
              <w:jc w:val="center"/>
              <w:rPr>
                <w:rFonts w:ascii="Arial" w:hAnsi="Arial" w:cs="Arial"/>
                <w:b/>
                <w:bCs/>
                <w:color w:val="000000"/>
                <w:lang w:eastAsia="en-GB"/>
              </w:rPr>
            </w:pPr>
            <w:r>
              <w:rPr>
                <w:rFonts w:ascii="Arial" w:hAnsi="Arial" w:cs="Arial"/>
                <w:b/>
                <w:bCs/>
                <w:color w:val="000000"/>
                <w:lang w:eastAsia="en-GB"/>
              </w:rPr>
              <w:t>4</w:t>
            </w:r>
          </w:p>
        </w:tc>
      </w:tr>
      <w:tr w:rsidR="007A0570" w:rsidRPr="00652957" w14:paraId="1174993B" w14:textId="77777777" w:rsidTr="00F51533">
        <w:trPr>
          <w:jc w:val="center"/>
        </w:trPr>
        <w:tc>
          <w:tcPr>
            <w:tcW w:w="604" w:type="dxa"/>
          </w:tcPr>
          <w:p w14:paraId="4F48C564" w14:textId="77777777" w:rsidR="007A0570" w:rsidRPr="002251AA" w:rsidRDefault="007A0570" w:rsidP="001A22AF">
            <w:pPr>
              <w:rPr>
                <w:rFonts w:ascii="Arial" w:hAnsi="Arial" w:cs="Arial"/>
                <w:bCs/>
                <w:color w:val="000000"/>
                <w:lang w:eastAsia="en-GB"/>
              </w:rPr>
            </w:pPr>
          </w:p>
        </w:tc>
        <w:tc>
          <w:tcPr>
            <w:tcW w:w="1017" w:type="dxa"/>
          </w:tcPr>
          <w:p w14:paraId="35C96E5C" w14:textId="77777777" w:rsidR="007A0570" w:rsidRDefault="007A0570" w:rsidP="001A22AF">
            <w:pPr>
              <w:rPr>
                <w:rFonts w:ascii="Arial" w:hAnsi="Arial" w:cs="Arial"/>
                <w:bCs/>
                <w:color w:val="000000"/>
                <w:lang w:eastAsia="en-GB"/>
              </w:rPr>
            </w:pPr>
            <w:r>
              <w:rPr>
                <w:rFonts w:ascii="Arial" w:hAnsi="Arial" w:cs="Arial"/>
                <w:bCs/>
                <w:color w:val="000000"/>
                <w:lang w:eastAsia="en-GB"/>
              </w:rPr>
              <w:t>EC2.1</w:t>
            </w:r>
          </w:p>
        </w:tc>
        <w:tc>
          <w:tcPr>
            <w:tcW w:w="6194" w:type="dxa"/>
            <w:gridSpan w:val="2"/>
          </w:tcPr>
          <w:p w14:paraId="0B9BA1E2"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Retrospective Application for Extenuating Circumstances</w:t>
            </w:r>
          </w:p>
        </w:tc>
        <w:tc>
          <w:tcPr>
            <w:tcW w:w="386" w:type="dxa"/>
          </w:tcPr>
          <w:p w14:paraId="6C9E0223" w14:textId="77777777" w:rsidR="007A0570" w:rsidRPr="002251AA" w:rsidRDefault="007A0570" w:rsidP="001A22AF">
            <w:pPr>
              <w:rPr>
                <w:rFonts w:ascii="Arial" w:hAnsi="Arial" w:cs="Arial"/>
                <w:bCs/>
                <w:color w:val="000000"/>
                <w:lang w:eastAsia="en-GB"/>
              </w:rPr>
            </w:pPr>
          </w:p>
        </w:tc>
        <w:tc>
          <w:tcPr>
            <w:tcW w:w="879" w:type="dxa"/>
          </w:tcPr>
          <w:p w14:paraId="04C4EAE9" w14:textId="77777777" w:rsidR="007A0570" w:rsidRPr="00506D4E" w:rsidRDefault="007A0570" w:rsidP="001A22AF">
            <w:pPr>
              <w:jc w:val="center"/>
              <w:rPr>
                <w:rFonts w:ascii="Arial" w:hAnsi="Arial" w:cs="Arial"/>
                <w:b/>
                <w:bCs/>
                <w:color w:val="000000"/>
                <w:lang w:eastAsia="en-GB"/>
              </w:rPr>
            </w:pPr>
            <w:r>
              <w:rPr>
                <w:rFonts w:ascii="Arial" w:hAnsi="Arial" w:cs="Arial"/>
                <w:b/>
                <w:bCs/>
                <w:color w:val="000000"/>
                <w:lang w:eastAsia="en-GB"/>
              </w:rPr>
              <w:t>4</w:t>
            </w:r>
          </w:p>
        </w:tc>
      </w:tr>
      <w:tr w:rsidR="007A0570" w:rsidRPr="00652957" w14:paraId="4AF5CD10" w14:textId="77777777" w:rsidTr="00F51533">
        <w:trPr>
          <w:jc w:val="center"/>
        </w:trPr>
        <w:tc>
          <w:tcPr>
            <w:tcW w:w="604" w:type="dxa"/>
          </w:tcPr>
          <w:p w14:paraId="412722D5" w14:textId="77777777" w:rsidR="007A0570" w:rsidRPr="002251AA" w:rsidRDefault="007A0570" w:rsidP="001A22AF">
            <w:pPr>
              <w:rPr>
                <w:rFonts w:ascii="Arial" w:hAnsi="Arial" w:cs="Arial"/>
                <w:bCs/>
                <w:color w:val="000000"/>
                <w:lang w:eastAsia="en-GB"/>
              </w:rPr>
            </w:pPr>
          </w:p>
        </w:tc>
        <w:tc>
          <w:tcPr>
            <w:tcW w:w="1017" w:type="dxa"/>
          </w:tcPr>
          <w:p w14:paraId="15701A47"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2.</w:t>
            </w:r>
            <w:r>
              <w:rPr>
                <w:rFonts w:ascii="Arial" w:hAnsi="Arial" w:cs="Arial"/>
                <w:bCs/>
                <w:color w:val="000000"/>
                <w:lang w:eastAsia="en-GB"/>
              </w:rPr>
              <w:t>2</w:t>
            </w:r>
          </w:p>
        </w:tc>
        <w:tc>
          <w:tcPr>
            <w:tcW w:w="6194" w:type="dxa"/>
            <w:gridSpan w:val="2"/>
          </w:tcPr>
          <w:p w14:paraId="08ACC18E" w14:textId="77777777" w:rsidR="007A0570" w:rsidRPr="00652957" w:rsidRDefault="007A0570" w:rsidP="001A22AF">
            <w:pPr>
              <w:rPr>
                <w:rFonts w:ascii="Arial" w:hAnsi="Arial" w:cs="Arial"/>
                <w:bCs/>
                <w:color w:val="000000"/>
                <w:lang w:eastAsia="en-GB"/>
              </w:rPr>
            </w:pPr>
            <w:r w:rsidRPr="00652957">
              <w:rPr>
                <w:rFonts w:ascii="Arial" w:hAnsi="Arial" w:cs="Arial"/>
                <w:bCs/>
                <w:color w:val="000000"/>
                <w:lang w:eastAsia="en-GB"/>
              </w:rPr>
              <w:t>Supporting Evidence</w:t>
            </w:r>
          </w:p>
        </w:tc>
        <w:tc>
          <w:tcPr>
            <w:tcW w:w="386" w:type="dxa"/>
          </w:tcPr>
          <w:p w14:paraId="668A1B0F" w14:textId="77777777" w:rsidR="007A0570" w:rsidRPr="002251AA" w:rsidRDefault="007A0570" w:rsidP="001A22AF">
            <w:pPr>
              <w:rPr>
                <w:rFonts w:ascii="Arial" w:hAnsi="Arial" w:cs="Arial"/>
                <w:bCs/>
                <w:color w:val="000000"/>
                <w:lang w:eastAsia="en-GB"/>
              </w:rPr>
            </w:pPr>
          </w:p>
        </w:tc>
        <w:tc>
          <w:tcPr>
            <w:tcW w:w="879" w:type="dxa"/>
          </w:tcPr>
          <w:p w14:paraId="5B3CEA4F"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4</w:t>
            </w:r>
          </w:p>
        </w:tc>
      </w:tr>
      <w:tr w:rsidR="007A0570" w:rsidRPr="00652957" w14:paraId="67D5020D" w14:textId="77777777" w:rsidTr="00F51533">
        <w:trPr>
          <w:jc w:val="center"/>
        </w:trPr>
        <w:tc>
          <w:tcPr>
            <w:tcW w:w="604" w:type="dxa"/>
          </w:tcPr>
          <w:p w14:paraId="52C8BC06" w14:textId="77777777" w:rsidR="007A0570" w:rsidRPr="002251AA" w:rsidRDefault="007A0570" w:rsidP="001A22AF">
            <w:pPr>
              <w:rPr>
                <w:rFonts w:ascii="Arial" w:hAnsi="Arial" w:cs="Arial"/>
                <w:bCs/>
                <w:color w:val="000000"/>
                <w:lang w:eastAsia="en-GB"/>
              </w:rPr>
            </w:pPr>
          </w:p>
        </w:tc>
        <w:tc>
          <w:tcPr>
            <w:tcW w:w="1017" w:type="dxa"/>
          </w:tcPr>
          <w:p w14:paraId="79E20A84" w14:textId="77777777" w:rsidR="007A0570" w:rsidRPr="00652957" w:rsidRDefault="007A0570" w:rsidP="001A22AF">
            <w:pPr>
              <w:rPr>
                <w:rFonts w:ascii="Arial" w:hAnsi="Arial" w:cs="Arial"/>
                <w:bCs/>
                <w:color w:val="000000"/>
                <w:lang w:eastAsia="en-GB"/>
              </w:rPr>
            </w:pPr>
          </w:p>
        </w:tc>
        <w:tc>
          <w:tcPr>
            <w:tcW w:w="6194" w:type="dxa"/>
            <w:gridSpan w:val="2"/>
          </w:tcPr>
          <w:p w14:paraId="6FBA7012" w14:textId="77777777" w:rsidR="007A0570" w:rsidRPr="00652957" w:rsidRDefault="007A0570" w:rsidP="001A22AF">
            <w:pPr>
              <w:rPr>
                <w:rFonts w:ascii="Arial" w:hAnsi="Arial" w:cs="Arial"/>
                <w:bCs/>
                <w:color w:val="000000"/>
                <w:lang w:eastAsia="en-GB"/>
              </w:rPr>
            </w:pPr>
          </w:p>
        </w:tc>
        <w:tc>
          <w:tcPr>
            <w:tcW w:w="386" w:type="dxa"/>
          </w:tcPr>
          <w:p w14:paraId="5E6A6822" w14:textId="77777777" w:rsidR="007A0570" w:rsidRPr="002251AA" w:rsidRDefault="007A0570" w:rsidP="001A22AF">
            <w:pPr>
              <w:rPr>
                <w:rFonts w:ascii="Arial" w:hAnsi="Arial" w:cs="Arial"/>
                <w:bCs/>
                <w:color w:val="000000"/>
                <w:lang w:eastAsia="en-GB"/>
              </w:rPr>
            </w:pPr>
          </w:p>
        </w:tc>
        <w:tc>
          <w:tcPr>
            <w:tcW w:w="879" w:type="dxa"/>
          </w:tcPr>
          <w:p w14:paraId="3329DB76" w14:textId="77777777" w:rsidR="007A0570" w:rsidRPr="002251AA" w:rsidRDefault="007A0570" w:rsidP="001A22AF">
            <w:pPr>
              <w:rPr>
                <w:rFonts w:ascii="Arial" w:hAnsi="Arial" w:cs="Arial"/>
                <w:bCs/>
                <w:color w:val="000000"/>
                <w:lang w:eastAsia="en-GB"/>
              </w:rPr>
            </w:pPr>
          </w:p>
        </w:tc>
      </w:tr>
      <w:tr w:rsidR="007A0570" w:rsidRPr="00652957" w14:paraId="51A04B9C" w14:textId="77777777" w:rsidTr="00F51533">
        <w:trPr>
          <w:jc w:val="center"/>
        </w:trPr>
        <w:tc>
          <w:tcPr>
            <w:tcW w:w="604" w:type="dxa"/>
          </w:tcPr>
          <w:p w14:paraId="71BC91CC"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3</w:t>
            </w:r>
          </w:p>
        </w:tc>
        <w:tc>
          <w:tcPr>
            <w:tcW w:w="7211" w:type="dxa"/>
            <w:gridSpan w:val="3"/>
          </w:tcPr>
          <w:p w14:paraId="6A324095" w14:textId="77777777" w:rsidR="007A0570" w:rsidRPr="00652957" w:rsidRDefault="007A0570" w:rsidP="001A22AF">
            <w:pPr>
              <w:rPr>
                <w:rFonts w:ascii="Arial" w:hAnsi="Arial" w:cs="Arial"/>
                <w:b/>
                <w:bCs/>
                <w:color w:val="000000"/>
                <w:lang w:eastAsia="en-GB"/>
              </w:rPr>
            </w:pPr>
            <w:r w:rsidRPr="00652957">
              <w:rPr>
                <w:rFonts w:ascii="Arial" w:hAnsi="Arial" w:cs="Arial"/>
                <w:b/>
                <w:bCs/>
                <w:color w:val="000000"/>
                <w:lang w:eastAsia="en-GB"/>
              </w:rPr>
              <w:t xml:space="preserve">Advice and </w:t>
            </w:r>
            <w:r>
              <w:rPr>
                <w:rFonts w:ascii="Arial" w:hAnsi="Arial" w:cs="Arial"/>
                <w:b/>
                <w:bCs/>
                <w:color w:val="000000"/>
                <w:lang w:eastAsia="en-GB"/>
              </w:rPr>
              <w:t>g</w:t>
            </w:r>
            <w:r w:rsidRPr="00652957">
              <w:rPr>
                <w:rFonts w:ascii="Arial" w:hAnsi="Arial" w:cs="Arial"/>
                <w:b/>
                <w:bCs/>
                <w:color w:val="000000"/>
                <w:lang w:eastAsia="en-GB"/>
              </w:rPr>
              <w:t>uidance</w:t>
            </w:r>
          </w:p>
        </w:tc>
        <w:tc>
          <w:tcPr>
            <w:tcW w:w="386" w:type="dxa"/>
          </w:tcPr>
          <w:p w14:paraId="24E48F8A" w14:textId="77777777" w:rsidR="007A0570" w:rsidRPr="002251AA" w:rsidRDefault="007A0570" w:rsidP="001A22AF">
            <w:pPr>
              <w:rPr>
                <w:rFonts w:ascii="Arial" w:hAnsi="Arial" w:cs="Arial"/>
                <w:bCs/>
                <w:color w:val="000000"/>
                <w:lang w:eastAsia="en-GB"/>
              </w:rPr>
            </w:pPr>
          </w:p>
        </w:tc>
        <w:tc>
          <w:tcPr>
            <w:tcW w:w="879" w:type="dxa"/>
          </w:tcPr>
          <w:p w14:paraId="6F635AD3"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5</w:t>
            </w:r>
          </w:p>
        </w:tc>
      </w:tr>
      <w:tr w:rsidR="007A0570" w:rsidRPr="002251AA" w14:paraId="0CAD95BB" w14:textId="77777777" w:rsidTr="00F51533">
        <w:trPr>
          <w:jc w:val="center"/>
        </w:trPr>
        <w:tc>
          <w:tcPr>
            <w:tcW w:w="604" w:type="dxa"/>
          </w:tcPr>
          <w:p w14:paraId="0D817C5D" w14:textId="77777777" w:rsidR="007A0570" w:rsidRPr="002251AA" w:rsidRDefault="007A0570" w:rsidP="001A22AF">
            <w:pPr>
              <w:rPr>
                <w:rFonts w:ascii="Arial" w:hAnsi="Arial" w:cs="Arial"/>
                <w:bCs/>
                <w:color w:val="000000"/>
                <w:lang w:eastAsia="en-GB"/>
              </w:rPr>
            </w:pPr>
          </w:p>
        </w:tc>
        <w:tc>
          <w:tcPr>
            <w:tcW w:w="1017" w:type="dxa"/>
          </w:tcPr>
          <w:p w14:paraId="3B8CA359" w14:textId="77777777" w:rsidR="007A0570" w:rsidRPr="002251AA" w:rsidRDefault="007A0570" w:rsidP="001A22AF">
            <w:pPr>
              <w:rPr>
                <w:rFonts w:ascii="Arial" w:hAnsi="Arial" w:cs="Arial"/>
                <w:bCs/>
                <w:color w:val="000000"/>
                <w:lang w:eastAsia="en-GB"/>
              </w:rPr>
            </w:pPr>
          </w:p>
        </w:tc>
        <w:tc>
          <w:tcPr>
            <w:tcW w:w="6194" w:type="dxa"/>
            <w:gridSpan w:val="2"/>
          </w:tcPr>
          <w:p w14:paraId="1D636394" w14:textId="77777777" w:rsidR="007A0570" w:rsidRPr="002251AA" w:rsidRDefault="007A0570" w:rsidP="001A22AF">
            <w:pPr>
              <w:rPr>
                <w:rFonts w:ascii="Arial" w:hAnsi="Arial" w:cs="Arial"/>
                <w:bCs/>
                <w:color w:val="000000"/>
                <w:lang w:eastAsia="en-GB"/>
              </w:rPr>
            </w:pPr>
          </w:p>
        </w:tc>
        <w:tc>
          <w:tcPr>
            <w:tcW w:w="386" w:type="dxa"/>
          </w:tcPr>
          <w:p w14:paraId="08EFDADE" w14:textId="77777777" w:rsidR="007A0570" w:rsidRPr="002251AA" w:rsidRDefault="007A0570" w:rsidP="001A22AF">
            <w:pPr>
              <w:rPr>
                <w:rFonts w:ascii="Arial" w:hAnsi="Arial" w:cs="Arial"/>
                <w:bCs/>
                <w:color w:val="000000"/>
                <w:lang w:eastAsia="en-GB"/>
              </w:rPr>
            </w:pPr>
          </w:p>
        </w:tc>
        <w:tc>
          <w:tcPr>
            <w:tcW w:w="879" w:type="dxa"/>
          </w:tcPr>
          <w:p w14:paraId="74AC2FAA" w14:textId="77777777" w:rsidR="007A0570" w:rsidRPr="002251AA" w:rsidRDefault="007A0570" w:rsidP="001A22AF">
            <w:pPr>
              <w:rPr>
                <w:rFonts w:ascii="Arial" w:hAnsi="Arial" w:cs="Arial"/>
                <w:bCs/>
                <w:color w:val="000000"/>
                <w:lang w:eastAsia="en-GB"/>
              </w:rPr>
            </w:pPr>
          </w:p>
        </w:tc>
      </w:tr>
      <w:tr w:rsidR="007A0570" w:rsidRPr="00652957" w14:paraId="46098495" w14:textId="77777777" w:rsidTr="00F51533">
        <w:trPr>
          <w:jc w:val="center"/>
        </w:trPr>
        <w:tc>
          <w:tcPr>
            <w:tcW w:w="604" w:type="dxa"/>
          </w:tcPr>
          <w:p w14:paraId="7A55DBE8"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4</w:t>
            </w:r>
          </w:p>
        </w:tc>
        <w:tc>
          <w:tcPr>
            <w:tcW w:w="7211" w:type="dxa"/>
            <w:gridSpan w:val="3"/>
          </w:tcPr>
          <w:p w14:paraId="4AE23D3B" w14:textId="77777777" w:rsidR="007A0570" w:rsidRPr="00652957" w:rsidRDefault="007A0570" w:rsidP="001A22AF">
            <w:pPr>
              <w:rPr>
                <w:rFonts w:ascii="Arial" w:hAnsi="Arial" w:cs="Arial"/>
                <w:b/>
                <w:bCs/>
                <w:color w:val="000000"/>
                <w:lang w:eastAsia="en-GB"/>
              </w:rPr>
            </w:pPr>
            <w:r>
              <w:rPr>
                <w:rFonts w:ascii="Arial" w:hAnsi="Arial" w:cs="Arial"/>
                <w:b/>
                <w:bCs/>
                <w:color w:val="000000"/>
                <w:lang w:eastAsia="en-GB"/>
              </w:rPr>
              <w:t>Extenuating Circumstances Panel</w:t>
            </w:r>
          </w:p>
        </w:tc>
        <w:tc>
          <w:tcPr>
            <w:tcW w:w="386" w:type="dxa"/>
          </w:tcPr>
          <w:p w14:paraId="6453D447" w14:textId="77777777" w:rsidR="007A0570" w:rsidRPr="002251AA" w:rsidRDefault="007A0570" w:rsidP="001A22AF">
            <w:pPr>
              <w:rPr>
                <w:rFonts w:ascii="Arial" w:hAnsi="Arial" w:cs="Arial"/>
                <w:bCs/>
                <w:color w:val="000000"/>
                <w:lang w:eastAsia="en-GB"/>
              </w:rPr>
            </w:pPr>
          </w:p>
        </w:tc>
        <w:tc>
          <w:tcPr>
            <w:tcW w:w="879" w:type="dxa"/>
          </w:tcPr>
          <w:p w14:paraId="7F038B72"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6</w:t>
            </w:r>
          </w:p>
        </w:tc>
      </w:tr>
      <w:tr w:rsidR="007A0570" w:rsidRPr="00652957" w14:paraId="4EA68D87" w14:textId="77777777" w:rsidTr="00F51533">
        <w:trPr>
          <w:jc w:val="center"/>
        </w:trPr>
        <w:tc>
          <w:tcPr>
            <w:tcW w:w="604" w:type="dxa"/>
          </w:tcPr>
          <w:p w14:paraId="76301ED1" w14:textId="77777777" w:rsidR="007A0570" w:rsidRPr="002251AA" w:rsidRDefault="007A0570" w:rsidP="001A22AF">
            <w:pPr>
              <w:rPr>
                <w:rFonts w:ascii="Arial" w:hAnsi="Arial" w:cs="Arial"/>
                <w:bCs/>
                <w:color w:val="000000"/>
                <w:lang w:eastAsia="en-GB"/>
              </w:rPr>
            </w:pPr>
          </w:p>
        </w:tc>
        <w:tc>
          <w:tcPr>
            <w:tcW w:w="1017" w:type="dxa"/>
          </w:tcPr>
          <w:p w14:paraId="2F1B3E33"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4.1</w:t>
            </w:r>
          </w:p>
        </w:tc>
        <w:tc>
          <w:tcPr>
            <w:tcW w:w="6194" w:type="dxa"/>
            <w:gridSpan w:val="2"/>
          </w:tcPr>
          <w:p w14:paraId="432DF12F" w14:textId="77777777" w:rsidR="007A0570" w:rsidRPr="00652957" w:rsidRDefault="007A0570" w:rsidP="001A22AF">
            <w:pPr>
              <w:rPr>
                <w:rFonts w:ascii="Arial" w:hAnsi="Arial" w:cs="Arial"/>
                <w:bCs/>
                <w:color w:val="000000"/>
                <w:lang w:eastAsia="en-GB"/>
              </w:rPr>
            </w:pPr>
            <w:r w:rsidRPr="00652957">
              <w:rPr>
                <w:rFonts w:ascii="Arial" w:hAnsi="Arial" w:cs="Arial"/>
                <w:bCs/>
                <w:color w:val="000000"/>
                <w:lang w:eastAsia="en-GB"/>
              </w:rPr>
              <w:t xml:space="preserve">Constitution of an </w:t>
            </w:r>
            <w:r>
              <w:rPr>
                <w:rFonts w:ascii="Arial" w:hAnsi="Arial" w:cs="Arial"/>
                <w:bCs/>
                <w:color w:val="000000"/>
                <w:lang w:eastAsia="en-GB"/>
              </w:rPr>
              <w:t>Extenuating Circumstances Panel</w:t>
            </w:r>
          </w:p>
        </w:tc>
        <w:tc>
          <w:tcPr>
            <w:tcW w:w="386" w:type="dxa"/>
          </w:tcPr>
          <w:p w14:paraId="548A7CED" w14:textId="77777777" w:rsidR="007A0570" w:rsidRPr="002251AA" w:rsidRDefault="007A0570" w:rsidP="001A22AF">
            <w:pPr>
              <w:rPr>
                <w:rFonts w:ascii="Arial" w:hAnsi="Arial" w:cs="Arial"/>
                <w:bCs/>
                <w:color w:val="000000"/>
                <w:lang w:eastAsia="en-GB"/>
              </w:rPr>
            </w:pPr>
          </w:p>
        </w:tc>
        <w:tc>
          <w:tcPr>
            <w:tcW w:w="879" w:type="dxa"/>
          </w:tcPr>
          <w:p w14:paraId="5FE77CAB"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6</w:t>
            </w:r>
          </w:p>
        </w:tc>
      </w:tr>
      <w:tr w:rsidR="007A0570" w:rsidRPr="00652957" w14:paraId="56EBCCDE" w14:textId="77777777" w:rsidTr="00F51533">
        <w:trPr>
          <w:jc w:val="center"/>
        </w:trPr>
        <w:tc>
          <w:tcPr>
            <w:tcW w:w="604" w:type="dxa"/>
          </w:tcPr>
          <w:p w14:paraId="669052FA" w14:textId="77777777" w:rsidR="007A0570" w:rsidRPr="002251AA" w:rsidRDefault="007A0570" w:rsidP="001A22AF">
            <w:pPr>
              <w:rPr>
                <w:rFonts w:ascii="Arial" w:hAnsi="Arial" w:cs="Arial"/>
                <w:bCs/>
                <w:color w:val="000000"/>
                <w:lang w:eastAsia="en-GB"/>
              </w:rPr>
            </w:pPr>
          </w:p>
        </w:tc>
        <w:tc>
          <w:tcPr>
            <w:tcW w:w="1017" w:type="dxa"/>
          </w:tcPr>
          <w:p w14:paraId="49CC1FFB"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4.2</w:t>
            </w:r>
          </w:p>
        </w:tc>
        <w:tc>
          <w:tcPr>
            <w:tcW w:w="6194" w:type="dxa"/>
            <w:gridSpan w:val="2"/>
          </w:tcPr>
          <w:p w14:paraId="36F3ADE3"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School</w:t>
            </w:r>
            <w:r w:rsidRPr="00652957">
              <w:rPr>
                <w:rFonts w:ascii="Arial" w:hAnsi="Arial" w:cs="Arial"/>
                <w:bCs/>
                <w:color w:val="000000"/>
                <w:lang w:eastAsia="en-GB"/>
              </w:rPr>
              <w:t xml:space="preserve"> </w:t>
            </w:r>
            <w:r>
              <w:rPr>
                <w:rFonts w:ascii="Arial" w:hAnsi="Arial" w:cs="Arial"/>
                <w:bCs/>
                <w:color w:val="000000"/>
                <w:lang w:eastAsia="en-GB"/>
              </w:rPr>
              <w:t>Extenuating Circumstances Panel</w:t>
            </w:r>
          </w:p>
        </w:tc>
        <w:tc>
          <w:tcPr>
            <w:tcW w:w="386" w:type="dxa"/>
          </w:tcPr>
          <w:p w14:paraId="3D629ECE" w14:textId="77777777" w:rsidR="007A0570" w:rsidRPr="002251AA" w:rsidRDefault="007A0570" w:rsidP="001A22AF">
            <w:pPr>
              <w:rPr>
                <w:rFonts w:ascii="Arial" w:hAnsi="Arial" w:cs="Arial"/>
                <w:bCs/>
                <w:color w:val="000000"/>
                <w:lang w:eastAsia="en-GB"/>
              </w:rPr>
            </w:pPr>
          </w:p>
        </w:tc>
        <w:tc>
          <w:tcPr>
            <w:tcW w:w="879" w:type="dxa"/>
          </w:tcPr>
          <w:p w14:paraId="0B73074D"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6</w:t>
            </w:r>
          </w:p>
        </w:tc>
      </w:tr>
      <w:tr w:rsidR="007A0570" w:rsidRPr="00652957" w14:paraId="613E5496" w14:textId="77777777" w:rsidTr="00F51533">
        <w:trPr>
          <w:jc w:val="center"/>
        </w:trPr>
        <w:tc>
          <w:tcPr>
            <w:tcW w:w="604" w:type="dxa"/>
          </w:tcPr>
          <w:p w14:paraId="2F1F4DD2" w14:textId="77777777" w:rsidR="007A0570" w:rsidRPr="002251AA" w:rsidRDefault="007A0570" w:rsidP="001A22AF">
            <w:pPr>
              <w:rPr>
                <w:rFonts w:ascii="Arial" w:hAnsi="Arial" w:cs="Arial"/>
                <w:bCs/>
                <w:color w:val="000000"/>
                <w:lang w:eastAsia="en-GB"/>
              </w:rPr>
            </w:pPr>
          </w:p>
        </w:tc>
        <w:tc>
          <w:tcPr>
            <w:tcW w:w="1017" w:type="dxa"/>
          </w:tcPr>
          <w:p w14:paraId="5EF93DB7" w14:textId="77777777" w:rsidR="007A0570" w:rsidRPr="00652957" w:rsidRDefault="007A0570" w:rsidP="001A22AF">
            <w:pPr>
              <w:rPr>
                <w:rFonts w:ascii="Arial" w:hAnsi="Arial" w:cs="Arial"/>
                <w:bCs/>
                <w:color w:val="000000"/>
                <w:lang w:eastAsia="en-GB"/>
              </w:rPr>
            </w:pPr>
            <w:r>
              <w:rPr>
                <w:rFonts w:ascii="Arial" w:hAnsi="Arial" w:cs="Arial"/>
                <w:bCs/>
                <w:color w:val="000000"/>
                <w:lang w:eastAsia="en-GB"/>
              </w:rPr>
              <w:t>EC</w:t>
            </w:r>
            <w:r w:rsidRPr="00652957">
              <w:rPr>
                <w:rFonts w:ascii="Arial" w:hAnsi="Arial" w:cs="Arial"/>
                <w:bCs/>
                <w:color w:val="000000"/>
                <w:lang w:eastAsia="en-GB"/>
              </w:rPr>
              <w:t>4.3</w:t>
            </w:r>
          </w:p>
        </w:tc>
        <w:tc>
          <w:tcPr>
            <w:tcW w:w="6194" w:type="dxa"/>
            <w:gridSpan w:val="2"/>
          </w:tcPr>
          <w:p w14:paraId="1AC179D0" w14:textId="77777777" w:rsidR="007A0570" w:rsidRPr="00652957" w:rsidRDefault="007A0570" w:rsidP="001A22AF">
            <w:pPr>
              <w:rPr>
                <w:rFonts w:ascii="Arial" w:hAnsi="Arial" w:cs="Arial"/>
                <w:bCs/>
                <w:color w:val="000000"/>
                <w:lang w:eastAsia="en-GB"/>
              </w:rPr>
            </w:pPr>
            <w:r w:rsidRPr="00652957">
              <w:rPr>
                <w:rFonts w:ascii="Arial" w:hAnsi="Arial" w:cs="Arial"/>
                <w:bCs/>
                <w:color w:val="000000"/>
                <w:lang w:eastAsia="en-GB"/>
              </w:rPr>
              <w:t>Schedule of Meetings</w:t>
            </w:r>
          </w:p>
        </w:tc>
        <w:tc>
          <w:tcPr>
            <w:tcW w:w="386" w:type="dxa"/>
          </w:tcPr>
          <w:p w14:paraId="0B6ADC5C" w14:textId="77777777" w:rsidR="007A0570" w:rsidRPr="002251AA" w:rsidRDefault="007A0570" w:rsidP="001A22AF">
            <w:pPr>
              <w:rPr>
                <w:rFonts w:ascii="Arial" w:hAnsi="Arial" w:cs="Arial"/>
                <w:bCs/>
                <w:color w:val="000000"/>
                <w:lang w:eastAsia="en-GB"/>
              </w:rPr>
            </w:pPr>
          </w:p>
        </w:tc>
        <w:tc>
          <w:tcPr>
            <w:tcW w:w="879" w:type="dxa"/>
          </w:tcPr>
          <w:p w14:paraId="1D9466F4" w14:textId="77777777" w:rsidR="007A0570" w:rsidRPr="00506D4E" w:rsidRDefault="007A0570" w:rsidP="001A22AF">
            <w:pPr>
              <w:jc w:val="center"/>
              <w:rPr>
                <w:rFonts w:ascii="Arial" w:hAnsi="Arial" w:cs="Arial"/>
                <w:b/>
                <w:bCs/>
                <w:color w:val="000000"/>
                <w:lang w:eastAsia="en-GB"/>
              </w:rPr>
            </w:pPr>
            <w:r w:rsidRPr="00506D4E">
              <w:rPr>
                <w:rFonts w:ascii="Arial" w:hAnsi="Arial" w:cs="Arial"/>
                <w:b/>
                <w:bCs/>
                <w:color w:val="000000"/>
                <w:lang w:eastAsia="en-GB"/>
              </w:rPr>
              <w:t>6</w:t>
            </w:r>
          </w:p>
        </w:tc>
      </w:tr>
      <w:tr w:rsidR="007A0570" w:rsidRPr="00652957" w14:paraId="3CE43246" w14:textId="77777777" w:rsidTr="00F51533">
        <w:trPr>
          <w:jc w:val="center"/>
        </w:trPr>
        <w:tc>
          <w:tcPr>
            <w:tcW w:w="604" w:type="dxa"/>
          </w:tcPr>
          <w:p w14:paraId="2F3FF64E" w14:textId="77777777" w:rsidR="007A0570" w:rsidRPr="002251AA" w:rsidRDefault="007A0570" w:rsidP="001A22AF">
            <w:pPr>
              <w:rPr>
                <w:rFonts w:ascii="Arial" w:hAnsi="Arial" w:cs="Arial"/>
                <w:bCs/>
                <w:color w:val="000000"/>
                <w:lang w:eastAsia="en-GB"/>
              </w:rPr>
            </w:pPr>
          </w:p>
        </w:tc>
        <w:tc>
          <w:tcPr>
            <w:tcW w:w="1017" w:type="dxa"/>
          </w:tcPr>
          <w:p w14:paraId="43D8D2D2" w14:textId="77777777" w:rsidR="007A0570" w:rsidRPr="00652957" w:rsidRDefault="007A0570" w:rsidP="001A22AF">
            <w:pPr>
              <w:rPr>
                <w:rFonts w:ascii="Arial" w:hAnsi="Arial" w:cs="Arial"/>
                <w:bCs/>
                <w:color w:val="000000"/>
                <w:lang w:eastAsia="en-GB"/>
              </w:rPr>
            </w:pPr>
          </w:p>
        </w:tc>
        <w:tc>
          <w:tcPr>
            <w:tcW w:w="6194" w:type="dxa"/>
            <w:gridSpan w:val="2"/>
          </w:tcPr>
          <w:p w14:paraId="701C9CE0" w14:textId="77777777" w:rsidR="007A0570" w:rsidRPr="00652957" w:rsidRDefault="007A0570" w:rsidP="001A22AF">
            <w:pPr>
              <w:rPr>
                <w:rFonts w:ascii="Arial" w:hAnsi="Arial" w:cs="Arial"/>
                <w:bCs/>
                <w:color w:val="000000"/>
                <w:lang w:eastAsia="en-GB"/>
              </w:rPr>
            </w:pPr>
          </w:p>
        </w:tc>
        <w:tc>
          <w:tcPr>
            <w:tcW w:w="386" w:type="dxa"/>
          </w:tcPr>
          <w:p w14:paraId="14BB2E5F" w14:textId="77777777" w:rsidR="007A0570" w:rsidRPr="002251AA" w:rsidRDefault="007A0570" w:rsidP="001A22AF">
            <w:pPr>
              <w:rPr>
                <w:rFonts w:ascii="Arial" w:hAnsi="Arial" w:cs="Arial"/>
                <w:bCs/>
                <w:color w:val="000000"/>
                <w:lang w:eastAsia="en-GB"/>
              </w:rPr>
            </w:pPr>
          </w:p>
        </w:tc>
        <w:tc>
          <w:tcPr>
            <w:tcW w:w="879" w:type="dxa"/>
          </w:tcPr>
          <w:p w14:paraId="6BEEA2B0" w14:textId="77777777" w:rsidR="007A0570" w:rsidRPr="002251AA" w:rsidRDefault="007A0570" w:rsidP="001A22AF">
            <w:pPr>
              <w:rPr>
                <w:rFonts w:ascii="Arial" w:hAnsi="Arial" w:cs="Arial"/>
                <w:bCs/>
                <w:color w:val="000000"/>
                <w:lang w:eastAsia="en-GB"/>
              </w:rPr>
            </w:pPr>
          </w:p>
        </w:tc>
      </w:tr>
      <w:tr w:rsidR="007A0570" w:rsidRPr="00652957" w14:paraId="75A0F51D" w14:textId="77777777" w:rsidTr="00F51533">
        <w:trPr>
          <w:jc w:val="center"/>
        </w:trPr>
        <w:tc>
          <w:tcPr>
            <w:tcW w:w="604" w:type="dxa"/>
          </w:tcPr>
          <w:p w14:paraId="1969767B"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5</w:t>
            </w:r>
          </w:p>
        </w:tc>
        <w:tc>
          <w:tcPr>
            <w:tcW w:w="7211" w:type="dxa"/>
            <w:gridSpan w:val="3"/>
          </w:tcPr>
          <w:p w14:paraId="7DF3185C" w14:textId="77777777" w:rsidR="007A0570" w:rsidRPr="00652957" w:rsidRDefault="007A0570" w:rsidP="001A22AF">
            <w:pPr>
              <w:rPr>
                <w:rFonts w:ascii="Arial" w:hAnsi="Arial" w:cs="Arial"/>
                <w:b/>
                <w:bCs/>
                <w:color w:val="000000"/>
                <w:lang w:eastAsia="en-GB"/>
              </w:rPr>
            </w:pPr>
            <w:r w:rsidRPr="00652957">
              <w:rPr>
                <w:rFonts w:ascii="Arial" w:hAnsi="Arial" w:cs="Arial"/>
                <w:b/>
                <w:bCs/>
                <w:color w:val="000000"/>
                <w:lang w:eastAsia="en-GB"/>
              </w:rPr>
              <w:t xml:space="preserve">Procedure and </w:t>
            </w:r>
            <w:r>
              <w:rPr>
                <w:rFonts w:ascii="Arial" w:hAnsi="Arial" w:cs="Arial"/>
                <w:b/>
                <w:bCs/>
                <w:color w:val="000000"/>
                <w:lang w:eastAsia="en-GB"/>
              </w:rPr>
              <w:t>d</w:t>
            </w:r>
            <w:r w:rsidRPr="00652957">
              <w:rPr>
                <w:rFonts w:ascii="Arial" w:hAnsi="Arial" w:cs="Arial"/>
                <w:b/>
                <w:bCs/>
                <w:color w:val="000000"/>
                <w:lang w:eastAsia="en-GB"/>
              </w:rPr>
              <w:t xml:space="preserve">ecision </w:t>
            </w:r>
            <w:r>
              <w:rPr>
                <w:rFonts w:ascii="Arial" w:hAnsi="Arial" w:cs="Arial"/>
                <w:b/>
                <w:bCs/>
                <w:color w:val="000000"/>
                <w:lang w:eastAsia="en-GB"/>
              </w:rPr>
              <w:t>m</w:t>
            </w:r>
            <w:r w:rsidRPr="00652957">
              <w:rPr>
                <w:rFonts w:ascii="Arial" w:hAnsi="Arial" w:cs="Arial"/>
                <w:b/>
                <w:bCs/>
                <w:color w:val="000000"/>
                <w:lang w:eastAsia="en-GB"/>
              </w:rPr>
              <w:t xml:space="preserve">aking </w:t>
            </w:r>
            <w:r>
              <w:rPr>
                <w:rFonts w:ascii="Arial" w:hAnsi="Arial" w:cs="Arial"/>
                <w:b/>
                <w:bCs/>
                <w:color w:val="000000"/>
                <w:lang w:eastAsia="en-GB"/>
              </w:rPr>
              <w:t>p</w:t>
            </w:r>
            <w:r w:rsidRPr="00652957">
              <w:rPr>
                <w:rFonts w:ascii="Arial" w:hAnsi="Arial" w:cs="Arial"/>
                <w:b/>
                <w:bCs/>
                <w:color w:val="000000"/>
                <w:lang w:eastAsia="en-GB"/>
              </w:rPr>
              <w:t xml:space="preserve">rocess of an </w:t>
            </w:r>
            <w:r>
              <w:rPr>
                <w:rFonts w:ascii="Arial" w:hAnsi="Arial" w:cs="Arial"/>
                <w:b/>
                <w:bCs/>
                <w:color w:val="000000"/>
                <w:lang w:eastAsia="en-GB"/>
              </w:rPr>
              <w:t>Extenuating Circumstances Panel</w:t>
            </w:r>
          </w:p>
          <w:p w14:paraId="71FA6CCB" w14:textId="77777777" w:rsidR="007A0570" w:rsidRPr="002251AA" w:rsidRDefault="007A0570" w:rsidP="001A22AF">
            <w:pPr>
              <w:rPr>
                <w:rFonts w:ascii="Arial" w:hAnsi="Arial" w:cs="Arial"/>
                <w:bCs/>
                <w:color w:val="000000"/>
                <w:lang w:eastAsia="en-GB"/>
              </w:rPr>
            </w:pPr>
          </w:p>
        </w:tc>
        <w:tc>
          <w:tcPr>
            <w:tcW w:w="386" w:type="dxa"/>
          </w:tcPr>
          <w:p w14:paraId="2F2C8CD3" w14:textId="77777777" w:rsidR="007A0570" w:rsidRPr="002251AA" w:rsidRDefault="007A0570" w:rsidP="001A22AF">
            <w:pPr>
              <w:rPr>
                <w:rFonts w:ascii="Arial" w:hAnsi="Arial" w:cs="Arial"/>
                <w:bCs/>
                <w:color w:val="000000"/>
                <w:lang w:eastAsia="en-GB"/>
              </w:rPr>
            </w:pPr>
          </w:p>
        </w:tc>
        <w:tc>
          <w:tcPr>
            <w:tcW w:w="879" w:type="dxa"/>
          </w:tcPr>
          <w:p w14:paraId="5B2355D7" w14:textId="1E139F7A" w:rsidR="007A0570" w:rsidRPr="00506D4E" w:rsidRDefault="00E60AC2" w:rsidP="001A22AF">
            <w:pPr>
              <w:jc w:val="center"/>
              <w:rPr>
                <w:rFonts w:ascii="Arial" w:hAnsi="Arial" w:cs="Arial"/>
                <w:b/>
                <w:bCs/>
                <w:color w:val="000000"/>
                <w:lang w:eastAsia="en-GB"/>
              </w:rPr>
            </w:pPr>
            <w:r>
              <w:rPr>
                <w:rFonts w:ascii="Arial" w:hAnsi="Arial" w:cs="Arial"/>
                <w:b/>
                <w:bCs/>
                <w:color w:val="000000"/>
                <w:lang w:eastAsia="en-GB"/>
              </w:rPr>
              <w:t>6</w:t>
            </w:r>
          </w:p>
        </w:tc>
      </w:tr>
      <w:tr w:rsidR="007A0570" w:rsidRPr="00652957" w14:paraId="35E24357" w14:textId="77777777" w:rsidTr="00F51533">
        <w:trPr>
          <w:jc w:val="center"/>
        </w:trPr>
        <w:tc>
          <w:tcPr>
            <w:tcW w:w="604" w:type="dxa"/>
          </w:tcPr>
          <w:p w14:paraId="3AE85BD6" w14:textId="77777777" w:rsidR="007A0570" w:rsidRPr="00652957" w:rsidRDefault="007A0570" w:rsidP="001A22AF">
            <w:pPr>
              <w:ind w:hanging="81"/>
              <w:rPr>
                <w:rFonts w:ascii="Arial" w:hAnsi="Arial" w:cs="Arial"/>
                <w:b/>
                <w:bCs/>
                <w:color w:val="000000"/>
                <w:lang w:eastAsia="en-GB"/>
              </w:rPr>
            </w:pPr>
            <w:r>
              <w:rPr>
                <w:rFonts w:ascii="Arial" w:hAnsi="Arial" w:cs="Arial"/>
                <w:b/>
                <w:bCs/>
                <w:color w:val="000000"/>
                <w:lang w:eastAsia="en-GB"/>
              </w:rPr>
              <w:t>EC</w:t>
            </w:r>
            <w:r w:rsidRPr="00652957">
              <w:rPr>
                <w:rFonts w:ascii="Arial" w:hAnsi="Arial" w:cs="Arial"/>
                <w:b/>
                <w:bCs/>
                <w:color w:val="000000"/>
                <w:lang w:eastAsia="en-GB"/>
              </w:rPr>
              <w:t>6</w:t>
            </w:r>
          </w:p>
        </w:tc>
        <w:tc>
          <w:tcPr>
            <w:tcW w:w="7211" w:type="dxa"/>
            <w:gridSpan w:val="3"/>
          </w:tcPr>
          <w:p w14:paraId="7F17F5C8" w14:textId="77777777" w:rsidR="007A0570" w:rsidRPr="00A87F8A" w:rsidRDefault="007A0570" w:rsidP="001A22AF">
            <w:pPr>
              <w:rPr>
                <w:rFonts w:ascii="Arial" w:hAnsi="Arial" w:cs="Arial"/>
                <w:b/>
                <w:bCs/>
                <w:color w:val="000000"/>
                <w:lang w:eastAsia="en-GB"/>
              </w:rPr>
            </w:pPr>
            <w:r w:rsidRPr="00652957">
              <w:rPr>
                <w:rFonts w:ascii="Arial" w:hAnsi="Arial" w:cs="Arial"/>
                <w:b/>
                <w:bCs/>
                <w:color w:val="000000"/>
                <w:lang w:eastAsia="en-GB"/>
              </w:rPr>
              <w:t>Confidentiality</w:t>
            </w:r>
          </w:p>
        </w:tc>
        <w:tc>
          <w:tcPr>
            <w:tcW w:w="386" w:type="dxa"/>
          </w:tcPr>
          <w:p w14:paraId="553D0014" w14:textId="77777777" w:rsidR="007A0570" w:rsidRPr="002251AA" w:rsidRDefault="007A0570" w:rsidP="001A22AF">
            <w:pPr>
              <w:rPr>
                <w:rFonts w:ascii="Arial" w:hAnsi="Arial" w:cs="Arial"/>
                <w:bCs/>
                <w:color w:val="000000"/>
                <w:lang w:eastAsia="en-GB"/>
              </w:rPr>
            </w:pPr>
          </w:p>
        </w:tc>
        <w:tc>
          <w:tcPr>
            <w:tcW w:w="879" w:type="dxa"/>
          </w:tcPr>
          <w:p w14:paraId="2038D403" w14:textId="77777777" w:rsidR="007A0570" w:rsidRDefault="007A0570" w:rsidP="001A22AF">
            <w:pPr>
              <w:jc w:val="center"/>
              <w:rPr>
                <w:rFonts w:ascii="Arial" w:hAnsi="Arial" w:cs="Arial"/>
                <w:b/>
                <w:bCs/>
                <w:color w:val="000000"/>
                <w:lang w:eastAsia="en-GB"/>
              </w:rPr>
            </w:pPr>
            <w:r w:rsidRPr="00506D4E">
              <w:rPr>
                <w:rFonts w:ascii="Arial" w:hAnsi="Arial" w:cs="Arial"/>
                <w:b/>
                <w:bCs/>
                <w:color w:val="000000"/>
                <w:lang w:eastAsia="en-GB"/>
              </w:rPr>
              <w:t>8</w:t>
            </w:r>
          </w:p>
          <w:p w14:paraId="3F2A3B46" w14:textId="77777777" w:rsidR="007A0570" w:rsidRDefault="007A0570" w:rsidP="001A22AF">
            <w:pPr>
              <w:jc w:val="center"/>
              <w:rPr>
                <w:rFonts w:ascii="Arial" w:hAnsi="Arial" w:cs="Arial"/>
                <w:b/>
                <w:bCs/>
                <w:color w:val="000000"/>
                <w:lang w:eastAsia="en-GB"/>
              </w:rPr>
            </w:pPr>
          </w:p>
          <w:p w14:paraId="5230D182" w14:textId="77777777" w:rsidR="007A0570" w:rsidRPr="00506D4E" w:rsidRDefault="007A0570" w:rsidP="001A22AF">
            <w:pPr>
              <w:jc w:val="center"/>
              <w:rPr>
                <w:rFonts w:ascii="Arial" w:hAnsi="Arial" w:cs="Arial"/>
                <w:b/>
                <w:bCs/>
                <w:color w:val="000000"/>
                <w:lang w:eastAsia="en-GB"/>
              </w:rPr>
            </w:pPr>
          </w:p>
        </w:tc>
      </w:tr>
      <w:tr w:rsidR="00A87F8A" w:rsidRPr="00652957" w14:paraId="6FB00C26" w14:textId="77777777" w:rsidTr="00F51533">
        <w:trPr>
          <w:jc w:val="center"/>
        </w:trPr>
        <w:tc>
          <w:tcPr>
            <w:tcW w:w="604" w:type="dxa"/>
          </w:tcPr>
          <w:p w14:paraId="443E35A6" w14:textId="77777777" w:rsidR="00A87F8A" w:rsidRDefault="00A87F8A" w:rsidP="001A22AF">
            <w:pPr>
              <w:ind w:hanging="81"/>
              <w:rPr>
                <w:rFonts w:ascii="Arial" w:hAnsi="Arial" w:cs="Arial"/>
                <w:b/>
                <w:bCs/>
                <w:color w:val="000000"/>
                <w:lang w:eastAsia="en-GB"/>
              </w:rPr>
            </w:pPr>
            <w:r w:rsidRPr="00774D2A">
              <w:rPr>
                <w:rFonts w:ascii="Arial" w:hAnsi="Arial" w:cs="Arial"/>
                <w:b/>
                <w:bCs/>
                <w:lang w:eastAsia="en-GB"/>
              </w:rPr>
              <w:t xml:space="preserve">EC7  </w:t>
            </w:r>
          </w:p>
        </w:tc>
        <w:tc>
          <w:tcPr>
            <w:tcW w:w="7211" w:type="dxa"/>
            <w:gridSpan w:val="3"/>
          </w:tcPr>
          <w:p w14:paraId="219D015D" w14:textId="77777777" w:rsidR="00A87F8A" w:rsidRPr="00652957" w:rsidRDefault="00A87F8A" w:rsidP="001A22AF">
            <w:pPr>
              <w:rPr>
                <w:rFonts w:ascii="Arial" w:hAnsi="Arial" w:cs="Arial"/>
                <w:b/>
                <w:bCs/>
                <w:color w:val="000000"/>
                <w:lang w:eastAsia="en-GB"/>
              </w:rPr>
            </w:pPr>
            <w:r w:rsidRPr="00774D2A">
              <w:rPr>
                <w:rFonts w:ascii="Arial" w:hAnsi="Arial" w:cs="Arial"/>
                <w:b/>
                <w:bCs/>
                <w:lang w:eastAsia="en-GB"/>
              </w:rPr>
              <w:t>Requests</w:t>
            </w:r>
            <w:r w:rsidRPr="00774D2A">
              <w:rPr>
                <w:rFonts w:ascii="Arial" w:hAnsi="Arial" w:cs="Arial"/>
                <w:b/>
              </w:rPr>
              <w:t xml:space="preserve"> to extend a period of Suspended Studies</w:t>
            </w:r>
          </w:p>
        </w:tc>
        <w:tc>
          <w:tcPr>
            <w:tcW w:w="386" w:type="dxa"/>
          </w:tcPr>
          <w:p w14:paraId="1F4A2162" w14:textId="77777777" w:rsidR="00A87F8A" w:rsidRPr="002251AA" w:rsidRDefault="00A87F8A" w:rsidP="001A22AF">
            <w:pPr>
              <w:rPr>
                <w:rFonts w:ascii="Arial" w:hAnsi="Arial" w:cs="Arial"/>
                <w:bCs/>
                <w:color w:val="000000"/>
                <w:lang w:eastAsia="en-GB"/>
              </w:rPr>
            </w:pPr>
          </w:p>
        </w:tc>
        <w:tc>
          <w:tcPr>
            <w:tcW w:w="879" w:type="dxa"/>
          </w:tcPr>
          <w:p w14:paraId="4B0E74A8" w14:textId="77777777" w:rsidR="00A87F8A" w:rsidRDefault="00A87F8A" w:rsidP="001A22AF">
            <w:pPr>
              <w:jc w:val="center"/>
              <w:rPr>
                <w:rFonts w:ascii="Arial" w:hAnsi="Arial" w:cs="Arial"/>
                <w:b/>
              </w:rPr>
            </w:pPr>
            <w:r w:rsidRPr="00774D2A">
              <w:rPr>
                <w:rFonts w:ascii="Arial" w:hAnsi="Arial" w:cs="Arial"/>
                <w:b/>
              </w:rPr>
              <w:t>8</w:t>
            </w:r>
          </w:p>
          <w:p w14:paraId="79EF62D9" w14:textId="7471C138" w:rsidR="001F1EBE" w:rsidRPr="00506D4E" w:rsidRDefault="001F1EBE" w:rsidP="001A22AF">
            <w:pPr>
              <w:jc w:val="center"/>
              <w:rPr>
                <w:rFonts w:ascii="Arial" w:hAnsi="Arial" w:cs="Arial"/>
                <w:b/>
                <w:bCs/>
                <w:color w:val="000000"/>
                <w:lang w:eastAsia="en-GB"/>
              </w:rPr>
            </w:pPr>
          </w:p>
        </w:tc>
      </w:tr>
      <w:tr w:rsidR="001F1EBE" w:rsidRPr="00652957" w14:paraId="7D0667D4" w14:textId="77777777" w:rsidTr="00F51533">
        <w:trPr>
          <w:jc w:val="center"/>
        </w:trPr>
        <w:tc>
          <w:tcPr>
            <w:tcW w:w="604" w:type="dxa"/>
          </w:tcPr>
          <w:p w14:paraId="0ED5B99B" w14:textId="43E70EA3" w:rsidR="001F1EBE" w:rsidRPr="00774D2A" w:rsidRDefault="001F1EBE" w:rsidP="001A22AF">
            <w:pPr>
              <w:ind w:hanging="81"/>
              <w:rPr>
                <w:rFonts w:ascii="Arial" w:hAnsi="Arial" w:cs="Arial"/>
                <w:b/>
                <w:bCs/>
                <w:lang w:eastAsia="en-GB"/>
              </w:rPr>
            </w:pPr>
            <w:r>
              <w:rPr>
                <w:rFonts w:ascii="Arial" w:hAnsi="Arial" w:cs="Arial"/>
                <w:b/>
                <w:bCs/>
                <w:lang w:eastAsia="en-GB"/>
              </w:rPr>
              <w:t>EC8</w:t>
            </w:r>
          </w:p>
        </w:tc>
        <w:tc>
          <w:tcPr>
            <w:tcW w:w="7211" w:type="dxa"/>
            <w:gridSpan w:val="3"/>
          </w:tcPr>
          <w:p w14:paraId="383E2B07" w14:textId="3D5ABD04" w:rsidR="001F1EBE" w:rsidRPr="00774D2A" w:rsidRDefault="001F1EBE" w:rsidP="001A22AF">
            <w:pPr>
              <w:rPr>
                <w:rFonts w:ascii="Arial" w:hAnsi="Arial" w:cs="Arial"/>
                <w:b/>
                <w:bCs/>
                <w:lang w:eastAsia="en-GB"/>
              </w:rPr>
            </w:pPr>
            <w:r>
              <w:rPr>
                <w:rFonts w:ascii="Arial" w:hAnsi="Arial" w:cs="Arial"/>
                <w:b/>
                <w:bCs/>
                <w:lang w:eastAsia="en-GB"/>
              </w:rPr>
              <w:t>Sources of further information</w:t>
            </w:r>
          </w:p>
        </w:tc>
        <w:tc>
          <w:tcPr>
            <w:tcW w:w="386" w:type="dxa"/>
          </w:tcPr>
          <w:p w14:paraId="44057C77" w14:textId="77777777" w:rsidR="001F1EBE" w:rsidRPr="002251AA" w:rsidRDefault="001F1EBE" w:rsidP="001A22AF">
            <w:pPr>
              <w:rPr>
                <w:rFonts w:ascii="Arial" w:hAnsi="Arial" w:cs="Arial"/>
                <w:bCs/>
                <w:color w:val="000000"/>
                <w:lang w:eastAsia="en-GB"/>
              </w:rPr>
            </w:pPr>
          </w:p>
        </w:tc>
        <w:tc>
          <w:tcPr>
            <w:tcW w:w="879" w:type="dxa"/>
          </w:tcPr>
          <w:p w14:paraId="2184C1AA" w14:textId="74183213" w:rsidR="001F1EBE" w:rsidRPr="00774D2A" w:rsidRDefault="001F1EBE" w:rsidP="001A22AF">
            <w:pPr>
              <w:jc w:val="center"/>
              <w:rPr>
                <w:rFonts w:ascii="Arial" w:hAnsi="Arial" w:cs="Arial"/>
                <w:b/>
              </w:rPr>
            </w:pPr>
            <w:r>
              <w:rPr>
                <w:rFonts w:ascii="Arial" w:hAnsi="Arial" w:cs="Arial"/>
                <w:b/>
              </w:rPr>
              <w:t>8</w:t>
            </w:r>
          </w:p>
        </w:tc>
      </w:tr>
    </w:tbl>
    <w:p w14:paraId="4FCF0E9B" w14:textId="77777777" w:rsidR="007A0570" w:rsidRPr="00774D2A" w:rsidRDefault="007A0570" w:rsidP="00A87F8A">
      <w:pPr>
        <w:tabs>
          <w:tab w:val="right" w:pos="8931"/>
        </w:tabs>
        <w:rPr>
          <w:rFonts w:ascii="Arial" w:hAnsi="Arial" w:cs="Arial"/>
          <w:b/>
          <w:bCs/>
          <w:lang w:eastAsia="en-GB"/>
        </w:rPr>
      </w:pPr>
      <w:r w:rsidRPr="00774D2A">
        <w:rPr>
          <w:rFonts w:ascii="Arial" w:hAnsi="Arial" w:cs="Arial"/>
          <w:b/>
        </w:rPr>
        <w:tab/>
      </w:r>
      <w:r w:rsidRPr="00774D2A">
        <w:rPr>
          <w:rFonts w:ascii="Arial" w:hAnsi="Arial" w:cs="Arial"/>
          <w:b/>
          <w:bCs/>
          <w:lang w:eastAsia="en-GB"/>
        </w:rPr>
        <w:t xml:space="preserve">  </w:t>
      </w:r>
    </w:p>
    <w:p w14:paraId="55703370" w14:textId="77777777" w:rsidR="007A0570" w:rsidRDefault="007A0570" w:rsidP="007A0570">
      <w:pPr>
        <w:tabs>
          <w:tab w:val="right" w:pos="8931"/>
        </w:tabs>
        <w:ind w:left="426"/>
        <w:rPr>
          <w:rFonts w:ascii="Arial" w:hAnsi="Arial" w:cs="Arial"/>
          <w:b/>
          <w:bCs/>
          <w:color w:val="000000"/>
          <w:lang w:eastAsia="en-GB"/>
        </w:rPr>
      </w:pPr>
    </w:p>
    <w:p w14:paraId="61177C99" w14:textId="77777777" w:rsidR="00F6271E" w:rsidRDefault="00F6271E" w:rsidP="007A0570">
      <w:pPr>
        <w:tabs>
          <w:tab w:val="right" w:pos="8931"/>
        </w:tabs>
        <w:ind w:left="426"/>
        <w:rPr>
          <w:rFonts w:ascii="Arial" w:hAnsi="Arial" w:cs="Arial"/>
          <w:b/>
          <w:bCs/>
          <w:color w:val="000000"/>
          <w:lang w:eastAsia="en-GB"/>
        </w:rPr>
      </w:pPr>
    </w:p>
    <w:p w14:paraId="1F84537B" w14:textId="360B2E1F" w:rsidR="007A0570" w:rsidRPr="00F6271E" w:rsidRDefault="007A0570" w:rsidP="00C31B3B">
      <w:pPr>
        <w:tabs>
          <w:tab w:val="right" w:pos="8931"/>
        </w:tabs>
        <w:ind w:left="426"/>
        <w:rPr>
          <w:b/>
          <w:bCs/>
        </w:rPr>
      </w:pPr>
      <w:r w:rsidRPr="00652957">
        <w:rPr>
          <w:rFonts w:ascii="Arial" w:hAnsi="Arial" w:cs="Arial"/>
          <w:b/>
          <w:bCs/>
          <w:color w:val="000000"/>
          <w:lang w:eastAsia="en-GB"/>
        </w:rPr>
        <w:t xml:space="preserve">Appendix </w:t>
      </w:r>
      <w:r>
        <w:rPr>
          <w:rFonts w:ascii="Arial" w:hAnsi="Arial" w:cs="Arial"/>
          <w:b/>
          <w:bCs/>
          <w:color w:val="000000"/>
          <w:lang w:eastAsia="en-GB"/>
        </w:rPr>
        <w:t>I</w:t>
      </w:r>
      <w:r w:rsidRPr="00652957">
        <w:rPr>
          <w:rFonts w:ascii="Arial" w:hAnsi="Arial" w:cs="Arial"/>
          <w:b/>
          <w:bCs/>
          <w:color w:val="000000"/>
          <w:lang w:eastAsia="en-GB"/>
        </w:rPr>
        <w:t xml:space="preserve">: </w:t>
      </w:r>
      <w:r w:rsidRPr="00F6271E">
        <w:rPr>
          <w:rFonts w:ascii="Arial" w:hAnsi="Arial" w:cs="Arial"/>
          <w:b/>
          <w:bCs/>
          <w:color w:val="000000"/>
          <w:lang w:eastAsia="en-GB"/>
        </w:rPr>
        <w:t>Flowchart for Retrospective Extenuating Circumstances process</w:t>
      </w:r>
    </w:p>
    <w:p w14:paraId="319AF7D8" w14:textId="6F31DD9D" w:rsidR="007A208D" w:rsidRDefault="007A208D" w:rsidP="007A0570">
      <w:pPr>
        <w:pStyle w:val="Default"/>
        <w:rPr>
          <w:b/>
          <w:bCs/>
        </w:rPr>
        <w:sectPr w:rsidR="007A208D" w:rsidSect="007A208D">
          <w:footerReference w:type="default" r:id="rId9"/>
          <w:pgSz w:w="11906" w:h="16838" w:code="9"/>
          <w:pgMar w:top="1701" w:right="1134" w:bottom="567" w:left="1134" w:header="709" w:footer="709" w:gutter="0"/>
          <w:pgNumType w:start="1"/>
          <w:cols w:space="708"/>
          <w:titlePg/>
          <w:docGrid w:linePitch="360"/>
        </w:sectPr>
      </w:pPr>
    </w:p>
    <w:p w14:paraId="7DBD1EFC" w14:textId="77777777" w:rsidR="007A0570" w:rsidRDefault="007A0570" w:rsidP="00C31B3B">
      <w:pPr>
        <w:pStyle w:val="Default"/>
        <w:rPr>
          <w:b/>
        </w:rPr>
      </w:pPr>
      <w:r>
        <w:rPr>
          <w:b/>
          <w:bCs/>
        </w:rPr>
        <w:lastRenderedPageBreak/>
        <w:t>EC</w:t>
      </w:r>
      <w:r w:rsidRPr="00652957">
        <w:rPr>
          <w:b/>
          <w:bCs/>
        </w:rPr>
        <w:t>1</w:t>
      </w:r>
      <w:r w:rsidRPr="00652957">
        <w:rPr>
          <w:b/>
          <w:bCs/>
        </w:rPr>
        <w:tab/>
      </w:r>
      <w:r w:rsidRPr="00652957">
        <w:rPr>
          <w:b/>
        </w:rPr>
        <w:t>Extenuating Circumstances</w:t>
      </w:r>
      <w:r>
        <w:rPr>
          <w:b/>
        </w:rPr>
        <w:tab/>
      </w:r>
    </w:p>
    <w:p w14:paraId="5B5AA541" w14:textId="77777777" w:rsidR="007A0570" w:rsidRDefault="007A0570" w:rsidP="007A0570">
      <w:pPr>
        <w:pStyle w:val="Default"/>
        <w:tabs>
          <w:tab w:val="left" w:pos="851"/>
        </w:tabs>
        <w:spacing w:before="120"/>
        <w:ind w:left="851"/>
      </w:pPr>
      <w:r>
        <w:t xml:space="preserve">These regulations apply to all matriculated students of Edinburgh Napier University who believe that their ability to complete an assessment of any type has been adversely affected by extenuating circumstances that have had a detrimental effect on their academic studies or progression. </w:t>
      </w:r>
    </w:p>
    <w:p w14:paraId="3F828442" w14:textId="77777777" w:rsidR="007A0570" w:rsidRDefault="007A0570" w:rsidP="007A0570">
      <w:pPr>
        <w:pStyle w:val="Default"/>
        <w:tabs>
          <w:tab w:val="left" w:pos="851"/>
        </w:tabs>
        <w:spacing w:before="120"/>
        <w:ind w:left="851"/>
      </w:pPr>
      <w:r w:rsidRPr="00E777BC">
        <w:t>All schools will appoint an Extenuating Circumstances Officer</w:t>
      </w:r>
      <w:r>
        <w:t>,</w:t>
      </w:r>
      <w:r w:rsidRPr="00E777BC">
        <w:t xml:space="preserve"> who will be an experienced member of academic or administrative staff</w:t>
      </w:r>
      <w:r>
        <w:t>,</w:t>
      </w:r>
      <w:r w:rsidRPr="00E777BC">
        <w:t xml:space="preserve"> who will administer the </w:t>
      </w:r>
      <w:r>
        <w:t>E</w:t>
      </w:r>
      <w:r w:rsidRPr="00E777BC">
        <w:t xml:space="preserve">xtenuating </w:t>
      </w:r>
      <w:r>
        <w:t>C</w:t>
      </w:r>
      <w:r w:rsidRPr="00E777BC">
        <w:t>ircums</w:t>
      </w:r>
      <w:r>
        <w:t>t</w:t>
      </w:r>
      <w:r w:rsidRPr="00E777BC">
        <w:t>ances procedure.</w:t>
      </w:r>
    </w:p>
    <w:p w14:paraId="0D18A30F" w14:textId="65F52ECE" w:rsidR="007A0570" w:rsidRDefault="007A0570" w:rsidP="007A0570">
      <w:pPr>
        <w:pStyle w:val="Default"/>
        <w:tabs>
          <w:tab w:val="left" w:pos="851"/>
        </w:tabs>
        <w:spacing w:before="120"/>
        <w:ind w:left="851"/>
      </w:pPr>
      <w:r>
        <w:t xml:space="preserve">These regulations should be read in conjunction with the University’s </w:t>
      </w:r>
      <w:hyperlink r:id="rId10" w:history="1">
        <w:r w:rsidR="001A22AF" w:rsidRPr="001A22AF">
          <w:rPr>
            <w:rStyle w:val="Hyperlink"/>
          </w:rPr>
          <w:t>Unive</w:t>
        </w:r>
        <w:r w:rsidR="001A22AF" w:rsidRPr="001A22AF">
          <w:rPr>
            <w:rStyle w:val="Hyperlink"/>
          </w:rPr>
          <w:t>r</w:t>
        </w:r>
        <w:r w:rsidR="001A22AF" w:rsidRPr="001A22AF">
          <w:rPr>
            <w:rStyle w:val="Hyperlink"/>
          </w:rPr>
          <w:t>sity’s Coursework Extension policy</w:t>
        </w:r>
      </w:hyperlink>
      <w:r>
        <w:t>.</w:t>
      </w:r>
    </w:p>
    <w:p w14:paraId="05342A14" w14:textId="77777777" w:rsidR="007A0570" w:rsidRDefault="007A0570" w:rsidP="007A0570">
      <w:pPr>
        <w:pStyle w:val="Default"/>
        <w:tabs>
          <w:tab w:val="left" w:pos="851"/>
        </w:tabs>
        <w:spacing w:before="120"/>
      </w:pPr>
    </w:p>
    <w:p w14:paraId="3D3EFA83" w14:textId="77777777" w:rsidR="007A0570" w:rsidRPr="00706BC1" w:rsidRDefault="007A0570" w:rsidP="00921234">
      <w:pPr>
        <w:pStyle w:val="Default"/>
        <w:tabs>
          <w:tab w:val="left" w:pos="851"/>
        </w:tabs>
        <w:spacing w:before="120"/>
        <w:rPr>
          <w:b/>
        </w:rPr>
      </w:pPr>
      <w:r w:rsidRPr="00706BC1">
        <w:rPr>
          <w:b/>
        </w:rPr>
        <w:t>EC1.1</w:t>
      </w:r>
      <w:r w:rsidRPr="00706BC1">
        <w:rPr>
          <w:b/>
        </w:rPr>
        <w:tab/>
        <w:t>Definition of Extenuating Circumstances</w:t>
      </w:r>
    </w:p>
    <w:p w14:paraId="341D44BD" w14:textId="77777777" w:rsidR="007A0570" w:rsidRDefault="007A0570" w:rsidP="007A0570">
      <w:pPr>
        <w:pStyle w:val="Default"/>
        <w:tabs>
          <w:tab w:val="left" w:pos="851"/>
        </w:tabs>
        <w:spacing w:before="120"/>
        <w:ind w:left="851"/>
      </w:pPr>
      <w:r>
        <w:t>The University considers extenuating circumstances, for the purpose of these regulations, to be exceptional adverse circumstances or events which were unforeseeable or unpreventable, for which the student subject to the circumstances could not take reasonable care to avoid, and which occurred at a significant period within the academic year or trimester</w:t>
      </w:r>
      <w:r w:rsidR="001A22AF">
        <w:t>.</w:t>
      </w:r>
    </w:p>
    <w:p w14:paraId="61E2D5A2" w14:textId="77777777" w:rsidR="007A0570" w:rsidRDefault="007A0570" w:rsidP="007A0570">
      <w:pPr>
        <w:pStyle w:val="Default"/>
        <w:tabs>
          <w:tab w:val="left" w:pos="851"/>
        </w:tabs>
        <w:spacing w:before="120"/>
        <w:ind w:left="851"/>
      </w:pPr>
    </w:p>
    <w:p w14:paraId="562A92EC" w14:textId="77777777" w:rsidR="007A0570" w:rsidRDefault="007A0570" w:rsidP="007A0570">
      <w:pPr>
        <w:pStyle w:val="Default"/>
        <w:tabs>
          <w:tab w:val="left" w:pos="851"/>
        </w:tabs>
        <w:rPr>
          <w:b/>
          <w:bCs/>
        </w:rPr>
      </w:pPr>
      <w:r>
        <w:rPr>
          <w:b/>
          <w:bCs/>
        </w:rPr>
        <w:t>EC1.2</w:t>
      </w:r>
      <w:r>
        <w:rPr>
          <w:b/>
          <w:bCs/>
        </w:rPr>
        <w:tab/>
        <w:t>Fit to Sit</w:t>
      </w:r>
    </w:p>
    <w:p w14:paraId="3A53573A" w14:textId="77777777" w:rsidR="007A0570" w:rsidRDefault="007A0570" w:rsidP="007A0570">
      <w:pPr>
        <w:pStyle w:val="Default"/>
        <w:tabs>
          <w:tab w:val="left" w:pos="851"/>
        </w:tabs>
        <w:spacing w:before="120"/>
        <w:ind w:left="851"/>
      </w:pPr>
      <w:r>
        <w:t xml:space="preserve">The principle of Fit to Sit is that a student who attends, submits or participates in any form of assessment, is declaring him or herself to be in a position to do so and cannot subsequently claim that their performance was adversely affected by extenuating circumstances. </w:t>
      </w:r>
    </w:p>
    <w:p w14:paraId="2A4630B3" w14:textId="77777777" w:rsidR="007A0570" w:rsidRDefault="007A0570" w:rsidP="007A0570">
      <w:pPr>
        <w:pStyle w:val="Default"/>
        <w:tabs>
          <w:tab w:val="left" w:pos="851"/>
        </w:tabs>
        <w:spacing w:before="120"/>
        <w:ind w:left="851"/>
      </w:pPr>
      <w:r>
        <w:t>The following actions are available where students’ work is compromised by extenuating circumstances:</w:t>
      </w:r>
    </w:p>
    <w:p w14:paraId="61C71AB1" w14:textId="77777777" w:rsidR="007A0570" w:rsidRDefault="007A0570" w:rsidP="007A0570">
      <w:pPr>
        <w:pStyle w:val="Default"/>
        <w:numPr>
          <w:ilvl w:val="0"/>
          <w:numId w:val="17"/>
        </w:numPr>
        <w:tabs>
          <w:tab w:val="left" w:pos="851"/>
        </w:tabs>
        <w:spacing w:before="120"/>
      </w:pPr>
      <w:r>
        <w:t>Extension – the student requests an extension to the submission date for coursework,</w:t>
      </w:r>
    </w:p>
    <w:p w14:paraId="2E57E612" w14:textId="77777777" w:rsidR="007A0570" w:rsidRDefault="007A0570" w:rsidP="007A0570">
      <w:pPr>
        <w:pStyle w:val="Default"/>
        <w:numPr>
          <w:ilvl w:val="0"/>
          <w:numId w:val="17"/>
        </w:numPr>
        <w:tabs>
          <w:tab w:val="left" w:pos="851"/>
        </w:tabs>
        <w:spacing w:before="120"/>
      </w:pPr>
      <w:r>
        <w:t>Deferral of Assessment – student is unable to complete assessment at the scheduled time and requests deferral of assessment to the next diet,</w:t>
      </w:r>
    </w:p>
    <w:p w14:paraId="7D221E59" w14:textId="77777777" w:rsidR="007A0570" w:rsidRDefault="007A0570" w:rsidP="007A0570">
      <w:pPr>
        <w:pStyle w:val="Default"/>
        <w:numPr>
          <w:ilvl w:val="0"/>
          <w:numId w:val="17"/>
        </w:numPr>
        <w:tabs>
          <w:tab w:val="left" w:pos="851"/>
        </w:tabs>
        <w:spacing w:before="120"/>
      </w:pPr>
      <w:r>
        <w:t>Retrospective Extenuating Circumstances – where deferral has not been possible the student applies retrospectively for extenuating circumstances to be considered.</w:t>
      </w:r>
    </w:p>
    <w:p w14:paraId="20F3260F" w14:textId="77777777" w:rsidR="007A0570" w:rsidRDefault="007A0570" w:rsidP="007A0570">
      <w:pPr>
        <w:pStyle w:val="Default"/>
        <w:tabs>
          <w:tab w:val="left" w:pos="851"/>
        </w:tabs>
        <w:spacing w:before="120"/>
        <w:ind w:left="851"/>
      </w:pPr>
    </w:p>
    <w:p w14:paraId="2B07CC51" w14:textId="77777777" w:rsidR="007A0570" w:rsidRDefault="007A0570" w:rsidP="007A0570">
      <w:pPr>
        <w:rPr>
          <w:rFonts w:ascii="Arial" w:hAnsi="Arial" w:cs="Arial"/>
          <w:b/>
        </w:rPr>
      </w:pPr>
      <w:r>
        <w:rPr>
          <w:rFonts w:ascii="Arial" w:hAnsi="Arial" w:cs="Arial"/>
          <w:b/>
        </w:rPr>
        <w:t>EC1.3 Deferral of Assessment</w:t>
      </w:r>
    </w:p>
    <w:p w14:paraId="4CF268B4" w14:textId="5CDAB179" w:rsidR="00E60AC2" w:rsidRDefault="007A0570" w:rsidP="007A0570">
      <w:pPr>
        <w:pStyle w:val="Default"/>
        <w:tabs>
          <w:tab w:val="left" w:pos="851"/>
        </w:tabs>
        <w:spacing w:before="120"/>
        <w:ind w:left="851"/>
        <w:sectPr w:rsidR="00E60AC2" w:rsidSect="00E60AC2">
          <w:footerReference w:type="first" r:id="rId11"/>
          <w:pgSz w:w="11906" w:h="16838" w:code="9"/>
          <w:pgMar w:top="1701" w:right="1134" w:bottom="567" w:left="1134" w:header="709" w:footer="709" w:gutter="0"/>
          <w:pgNumType w:start="2"/>
          <w:cols w:space="708"/>
          <w:titlePg/>
          <w:docGrid w:linePitch="360"/>
        </w:sectPr>
      </w:pPr>
      <w:r>
        <w:t>Students who feel that they are unable to attend, submit or participate in any form of assessment, or that their preparation for assessment has been compromised as a result of extenuating circumstances</w:t>
      </w:r>
      <w:r w:rsidR="001A22AF">
        <w:t>,</w:t>
      </w:r>
      <w:r>
        <w:t xml:space="preserve"> are permitted to defer that assessment to the next assessment diet, subject to approval of an application for Deferral of Assessment. Approved deferrals are reported to the student’s Programme </w:t>
      </w:r>
      <w:r w:rsidR="001A22AF">
        <w:t>Assessment Board</w:t>
      </w:r>
      <w:r>
        <w:t>. Deferral of assessment may have an impact on progression or award decisions.</w:t>
      </w:r>
    </w:p>
    <w:p w14:paraId="50B3C70D" w14:textId="36247641" w:rsidR="007A0570" w:rsidRDefault="007A0570" w:rsidP="007A0570">
      <w:pPr>
        <w:pStyle w:val="Default"/>
        <w:tabs>
          <w:tab w:val="left" w:pos="851"/>
        </w:tabs>
        <w:rPr>
          <w:b/>
        </w:rPr>
      </w:pPr>
      <w:r>
        <w:rPr>
          <w:b/>
        </w:rPr>
        <w:lastRenderedPageBreak/>
        <w:t>EC</w:t>
      </w:r>
      <w:r w:rsidRPr="00652957">
        <w:rPr>
          <w:b/>
        </w:rPr>
        <w:t>1.</w:t>
      </w:r>
      <w:r>
        <w:rPr>
          <w:b/>
        </w:rPr>
        <w:t>4</w:t>
      </w:r>
      <w:r w:rsidRPr="00652957">
        <w:rPr>
          <w:b/>
        </w:rPr>
        <w:tab/>
        <w:t>Examples of Extenuating Circumstances</w:t>
      </w:r>
    </w:p>
    <w:p w14:paraId="1BE80B47" w14:textId="77777777" w:rsidR="007A0570" w:rsidRPr="00652957" w:rsidRDefault="007A0570" w:rsidP="007A0570">
      <w:pPr>
        <w:pStyle w:val="Default"/>
        <w:tabs>
          <w:tab w:val="left" w:pos="851"/>
        </w:tabs>
        <w:spacing w:before="120"/>
        <w:ind w:left="851"/>
      </w:pPr>
      <w:r w:rsidRPr="00652957">
        <w:t xml:space="preserve">The following are examples of extenuating circumstances </w:t>
      </w:r>
      <w:r>
        <w:t>that</w:t>
      </w:r>
      <w:r w:rsidRPr="00652957">
        <w:t xml:space="preserve"> may adversely affect preparation, attendance or performance in an assessment or examination that may </w:t>
      </w:r>
      <w:r>
        <w:t>be considered as grounds for deferral of assessment</w:t>
      </w:r>
      <w:r w:rsidRPr="00652957">
        <w:t xml:space="preserve">. </w:t>
      </w:r>
      <w:r w:rsidRPr="00652957">
        <w:rPr>
          <w:b/>
        </w:rPr>
        <w:t>This is an illustrative but not exhaustive list</w:t>
      </w:r>
      <w:r w:rsidRPr="00652957">
        <w:t>:</w:t>
      </w:r>
    </w:p>
    <w:p w14:paraId="30055632" w14:textId="77777777" w:rsidR="007A0570" w:rsidRDefault="007A0570" w:rsidP="007A0570">
      <w:pPr>
        <w:pStyle w:val="NormalWeb"/>
        <w:tabs>
          <w:tab w:val="left" w:pos="1418"/>
        </w:tabs>
        <w:spacing w:before="0" w:beforeAutospacing="0" w:after="0" w:afterAutospacing="0"/>
        <w:rPr>
          <w:rFonts w:ascii="Arial" w:hAnsi="Arial" w:cs="Arial"/>
        </w:rPr>
      </w:pPr>
    </w:p>
    <w:p w14:paraId="57C886DE" w14:textId="77777777" w:rsidR="007A0570" w:rsidRDefault="007A0570" w:rsidP="007A0570">
      <w:pPr>
        <w:pStyle w:val="NormalWeb"/>
        <w:numPr>
          <w:ilvl w:val="0"/>
          <w:numId w:val="6"/>
        </w:numPr>
        <w:tabs>
          <w:tab w:val="left" w:pos="1418"/>
        </w:tabs>
        <w:spacing w:before="0" w:beforeAutospacing="0" w:after="0" w:afterAutospacing="0"/>
        <w:ind w:left="851" w:firstLine="0"/>
        <w:rPr>
          <w:rFonts w:ascii="Arial" w:hAnsi="Arial" w:cs="Arial"/>
        </w:rPr>
      </w:pPr>
      <w:r>
        <w:rPr>
          <w:rFonts w:ascii="Arial" w:hAnsi="Arial" w:cs="Arial"/>
        </w:rPr>
        <w:t>s</w:t>
      </w:r>
      <w:r w:rsidRPr="00652957">
        <w:rPr>
          <w:rFonts w:ascii="Arial" w:hAnsi="Arial" w:cs="Arial"/>
        </w:rPr>
        <w:t xml:space="preserve">erious illness </w:t>
      </w:r>
      <w:r>
        <w:rPr>
          <w:rFonts w:ascii="Arial" w:hAnsi="Arial" w:cs="Arial"/>
        </w:rPr>
        <w:t>or injury</w:t>
      </w:r>
    </w:p>
    <w:p w14:paraId="42EAD029" w14:textId="77777777" w:rsidR="007A0570" w:rsidRDefault="007A0570" w:rsidP="007A0570">
      <w:pPr>
        <w:pStyle w:val="NormalWeb"/>
        <w:tabs>
          <w:tab w:val="left" w:pos="1418"/>
        </w:tabs>
        <w:spacing w:before="0" w:beforeAutospacing="0" w:after="0" w:afterAutospacing="0"/>
        <w:rPr>
          <w:rFonts w:ascii="Arial" w:hAnsi="Arial" w:cs="Arial"/>
        </w:rPr>
      </w:pPr>
    </w:p>
    <w:p w14:paraId="454082BF" w14:textId="77777777" w:rsidR="007A0570" w:rsidRDefault="007A0570" w:rsidP="007A0570">
      <w:pPr>
        <w:pStyle w:val="NormalWeb"/>
        <w:numPr>
          <w:ilvl w:val="0"/>
          <w:numId w:val="6"/>
        </w:numPr>
        <w:tabs>
          <w:tab w:val="left" w:pos="1418"/>
        </w:tabs>
        <w:spacing w:before="0" w:beforeAutospacing="0" w:after="0" w:afterAutospacing="0"/>
        <w:ind w:left="851" w:firstLine="0"/>
        <w:rPr>
          <w:rFonts w:ascii="Arial" w:hAnsi="Arial" w:cs="Arial"/>
        </w:rPr>
      </w:pPr>
      <w:r>
        <w:rPr>
          <w:rFonts w:ascii="Arial" w:hAnsi="Arial" w:cs="Arial"/>
        </w:rPr>
        <w:t>t</w:t>
      </w:r>
      <w:r w:rsidRPr="00DC0A67">
        <w:rPr>
          <w:rFonts w:ascii="Arial" w:hAnsi="Arial" w:cs="Arial"/>
        </w:rPr>
        <w:t>he death or chronic illness of a family member, dependant and/or friend</w:t>
      </w:r>
    </w:p>
    <w:p w14:paraId="56E4A8A9" w14:textId="77777777" w:rsidR="007A0570" w:rsidRDefault="007A0570" w:rsidP="007A0570">
      <w:pPr>
        <w:pStyle w:val="NormalWeb"/>
        <w:tabs>
          <w:tab w:val="left" w:pos="1418"/>
        </w:tabs>
        <w:spacing w:before="0" w:beforeAutospacing="0" w:after="0" w:afterAutospacing="0"/>
        <w:rPr>
          <w:rFonts w:ascii="Arial" w:hAnsi="Arial" w:cs="Arial"/>
        </w:rPr>
      </w:pPr>
    </w:p>
    <w:p w14:paraId="1D273BFB" w14:textId="77777777" w:rsidR="007A0570" w:rsidRDefault="007A0570" w:rsidP="007A0570">
      <w:pPr>
        <w:pStyle w:val="NormalWeb"/>
        <w:numPr>
          <w:ilvl w:val="0"/>
          <w:numId w:val="6"/>
        </w:numPr>
        <w:tabs>
          <w:tab w:val="left" w:pos="1418"/>
        </w:tabs>
        <w:spacing w:before="0" w:beforeAutospacing="0" w:after="0" w:afterAutospacing="0"/>
        <w:ind w:left="851" w:firstLine="0"/>
        <w:rPr>
          <w:rFonts w:ascii="Arial" w:hAnsi="Arial" w:cs="Arial"/>
        </w:rPr>
      </w:pPr>
      <w:r>
        <w:rPr>
          <w:rFonts w:ascii="Arial" w:hAnsi="Arial" w:cs="Arial"/>
        </w:rPr>
        <w:t>d</w:t>
      </w:r>
      <w:r w:rsidRPr="00DC0A67">
        <w:rPr>
          <w:rFonts w:ascii="Arial" w:hAnsi="Arial" w:cs="Arial"/>
        </w:rPr>
        <w:t>omestic, financial and/or personal crises</w:t>
      </w:r>
    </w:p>
    <w:p w14:paraId="0534C4D5" w14:textId="77777777" w:rsidR="007A0570" w:rsidRDefault="007A0570" w:rsidP="007A0570">
      <w:pPr>
        <w:pStyle w:val="NormalWeb"/>
        <w:tabs>
          <w:tab w:val="left" w:pos="1418"/>
        </w:tabs>
        <w:spacing w:before="0" w:beforeAutospacing="0" w:after="0" w:afterAutospacing="0"/>
        <w:rPr>
          <w:rFonts w:ascii="Arial" w:hAnsi="Arial" w:cs="Arial"/>
        </w:rPr>
      </w:pPr>
    </w:p>
    <w:p w14:paraId="546FDF24" w14:textId="77777777" w:rsidR="007A0570" w:rsidRDefault="007A0570" w:rsidP="007A0570">
      <w:pPr>
        <w:pStyle w:val="NormalWeb"/>
        <w:numPr>
          <w:ilvl w:val="0"/>
          <w:numId w:val="6"/>
        </w:numPr>
        <w:tabs>
          <w:tab w:val="left" w:pos="1418"/>
        </w:tabs>
        <w:spacing w:before="0" w:beforeAutospacing="0" w:after="0" w:afterAutospacing="0"/>
        <w:ind w:left="1418" w:hanging="567"/>
        <w:rPr>
          <w:rFonts w:ascii="Arial" w:hAnsi="Arial" w:cs="Arial"/>
        </w:rPr>
      </w:pPr>
      <w:r>
        <w:rPr>
          <w:rFonts w:ascii="Arial" w:hAnsi="Arial" w:cs="Arial"/>
        </w:rPr>
        <w:t>u</w:t>
      </w:r>
      <w:r w:rsidRPr="00DC0A67">
        <w:rPr>
          <w:rFonts w:ascii="Arial" w:hAnsi="Arial" w:cs="Arial"/>
        </w:rPr>
        <w:t>nplanned absence arising from circumstances such as jury service, territorial army deployment, pregnancy, maternity, paternity or adoption leave</w:t>
      </w:r>
      <w:r>
        <w:rPr>
          <w:rFonts w:ascii="Arial" w:hAnsi="Arial" w:cs="Arial"/>
        </w:rPr>
        <w:t>, or caring responsibilities</w:t>
      </w:r>
    </w:p>
    <w:p w14:paraId="62D05805" w14:textId="77777777" w:rsidR="007A0570" w:rsidRDefault="007A0570" w:rsidP="007A0570">
      <w:pPr>
        <w:pStyle w:val="NormalWeb"/>
        <w:tabs>
          <w:tab w:val="left" w:pos="1418"/>
        </w:tabs>
        <w:spacing w:before="0" w:beforeAutospacing="0" w:after="0" w:afterAutospacing="0"/>
        <w:rPr>
          <w:rFonts w:ascii="Arial" w:hAnsi="Arial" w:cs="Arial"/>
        </w:rPr>
      </w:pPr>
    </w:p>
    <w:p w14:paraId="6DCD9FE4" w14:textId="77777777" w:rsidR="007A0570" w:rsidRDefault="007A0570" w:rsidP="007A0570">
      <w:pPr>
        <w:pStyle w:val="NormalWeb"/>
        <w:numPr>
          <w:ilvl w:val="0"/>
          <w:numId w:val="6"/>
        </w:numPr>
        <w:tabs>
          <w:tab w:val="left" w:pos="1418"/>
        </w:tabs>
        <w:spacing w:before="0" w:beforeAutospacing="0" w:after="0" w:afterAutospacing="0"/>
        <w:ind w:left="1418" w:hanging="567"/>
        <w:rPr>
          <w:rFonts w:ascii="Arial" w:hAnsi="Arial" w:cs="Arial"/>
        </w:rPr>
      </w:pPr>
      <w:r>
        <w:rPr>
          <w:rFonts w:ascii="Arial" w:hAnsi="Arial" w:cs="Arial"/>
        </w:rPr>
        <w:t>c</w:t>
      </w:r>
      <w:r w:rsidRPr="00DC0A67">
        <w:rPr>
          <w:rFonts w:ascii="Arial" w:hAnsi="Arial" w:cs="Arial"/>
        </w:rPr>
        <w:t>ircumstances arising as a consequence, or subsequent to, suspension or temporary exclusion from the University, which were</w:t>
      </w:r>
      <w:r>
        <w:rPr>
          <w:rFonts w:ascii="Arial" w:hAnsi="Arial" w:cs="Arial"/>
        </w:rPr>
        <w:t xml:space="preserve"> not intended as a penalty</w:t>
      </w:r>
    </w:p>
    <w:p w14:paraId="047BD323" w14:textId="77777777" w:rsidR="007A0570" w:rsidRDefault="007A0570" w:rsidP="007A0570">
      <w:pPr>
        <w:pStyle w:val="NormalWeb"/>
        <w:tabs>
          <w:tab w:val="left" w:pos="1418"/>
        </w:tabs>
        <w:spacing w:before="0" w:beforeAutospacing="0" w:after="0" w:afterAutospacing="0"/>
        <w:rPr>
          <w:rFonts w:ascii="Arial" w:hAnsi="Arial" w:cs="Arial"/>
        </w:rPr>
      </w:pPr>
    </w:p>
    <w:p w14:paraId="1D5F8902" w14:textId="77777777" w:rsidR="007A0570" w:rsidRDefault="007A0570" w:rsidP="007A0570">
      <w:pPr>
        <w:pStyle w:val="NormalWeb"/>
        <w:numPr>
          <w:ilvl w:val="0"/>
          <w:numId w:val="6"/>
        </w:numPr>
        <w:tabs>
          <w:tab w:val="left" w:pos="1418"/>
        </w:tabs>
        <w:spacing w:before="0" w:beforeAutospacing="0" w:after="0" w:afterAutospacing="0"/>
        <w:ind w:left="1418" w:hanging="567"/>
        <w:rPr>
          <w:rFonts w:ascii="Arial" w:hAnsi="Arial" w:cs="Arial"/>
        </w:rPr>
      </w:pPr>
      <w:r>
        <w:rPr>
          <w:rFonts w:ascii="Arial" w:hAnsi="Arial" w:cs="Arial"/>
        </w:rPr>
        <w:t>s</w:t>
      </w:r>
      <w:r w:rsidRPr="00DC0A67">
        <w:rPr>
          <w:rFonts w:ascii="Arial" w:hAnsi="Arial" w:cs="Arial"/>
        </w:rPr>
        <w:t>ignificant adver</w:t>
      </w:r>
      <w:r>
        <w:rPr>
          <w:rFonts w:ascii="Arial" w:hAnsi="Arial" w:cs="Arial"/>
        </w:rPr>
        <w:t>se weather or travel disruption</w:t>
      </w:r>
    </w:p>
    <w:p w14:paraId="7517DA67" w14:textId="77777777" w:rsidR="007A0570" w:rsidRDefault="007A0570" w:rsidP="007A0570">
      <w:pPr>
        <w:pStyle w:val="NormalWeb"/>
        <w:tabs>
          <w:tab w:val="left" w:pos="1418"/>
        </w:tabs>
        <w:spacing w:before="0" w:beforeAutospacing="0" w:after="0" w:afterAutospacing="0"/>
        <w:rPr>
          <w:rFonts w:ascii="Arial" w:hAnsi="Arial" w:cs="Arial"/>
        </w:rPr>
      </w:pPr>
    </w:p>
    <w:p w14:paraId="2F22A8F7" w14:textId="77777777" w:rsidR="007A0570" w:rsidRDefault="007A0570" w:rsidP="007A0570">
      <w:pPr>
        <w:pStyle w:val="NormalWeb"/>
        <w:numPr>
          <w:ilvl w:val="0"/>
          <w:numId w:val="6"/>
        </w:numPr>
        <w:tabs>
          <w:tab w:val="left" w:pos="1418"/>
        </w:tabs>
        <w:spacing w:before="0" w:beforeAutospacing="0" w:after="0" w:afterAutospacing="0"/>
        <w:ind w:left="1418" w:hanging="567"/>
        <w:rPr>
          <w:rFonts w:ascii="Arial" w:hAnsi="Arial" w:cs="Arial"/>
        </w:rPr>
      </w:pPr>
      <w:r>
        <w:rPr>
          <w:rFonts w:ascii="Arial" w:hAnsi="Arial" w:cs="Arial"/>
        </w:rPr>
        <w:t>m</w:t>
      </w:r>
      <w:r w:rsidRPr="00DC0A67">
        <w:rPr>
          <w:rFonts w:ascii="Arial" w:hAnsi="Arial" w:cs="Arial"/>
        </w:rPr>
        <w:t>ajor disruption whilst under examination or assessment conditions.</w:t>
      </w:r>
    </w:p>
    <w:p w14:paraId="5FB8D5D5" w14:textId="77777777" w:rsidR="007A0570" w:rsidRDefault="007A0570" w:rsidP="007A0570">
      <w:pPr>
        <w:pStyle w:val="NormalWeb"/>
        <w:tabs>
          <w:tab w:val="left" w:pos="1418"/>
        </w:tabs>
        <w:spacing w:before="0" w:beforeAutospacing="0" w:after="0" w:afterAutospacing="0"/>
        <w:rPr>
          <w:rStyle w:val="Emphasis"/>
          <w:rFonts w:ascii="Arial" w:hAnsi="Arial" w:cs="Arial"/>
          <w:b/>
          <w:bCs/>
          <w:i w:val="0"/>
        </w:rPr>
      </w:pPr>
    </w:p>
    <w:p w14:paraId="50F03EDE" w14:textId="77777777" w:rsidR="007A0570" w:rsidRPr="007F401B" w:rsidRDefault="007A0570" w:rsidP="007A0570">
      <w:pPr>
        <w:pStyle w:val="Default"/>
        <w:tabs>
          <w:tab w:val="left" w:pos="851"/>
        </w:tabs>
        <w:rPr>
          <w:b/>
        </w:rPr>
      </w:pPr>
      <w:r w:rsidRPr="007F401B">
        <w:rPr>
          <w:b/>
        </w:rPr>
        <w:t>EC1.</w:t>
      </w:r>
      <w:r>
        <w:rPr>
          <w:b/>
        </w:rPr>
        <w:t>5</w:t>
      </w:r>
      <w:r w:rsidRPr="007F401B">
        <w:rPr>
          <w:b/>
        </w:rPr>
        <w:t xml:space="preserve">  Examples of circumstances unlikely to merit consideration</w:t>
      </w:r>
    </w:p>
    <w:p w14:paraId="2BA8B978" w14:textId="77777777" w:rsidR="007A0570" w:rsidRDefault="007A0570" w:rsidP="007A0570">
      <w:pPr>
        <w:pStyle w:val="NormalWeb"/>
        <w:tabs>
          <w:tab w:val="left" w:pos="851"/>
        </w:tabs>
        <w:spacing w:before="120" w:beforeAutospacing="0" w:after="0" w:afterAutospacing="0"/>
        <w:ind w:left="851"/>
        <w:rPr>
          <w:rFonts w:ascii="Arial" w:hAnsi="Arial" w:cs="Arial"/>
        </w:rPr>
      </w:pPr>
      <w:r w:rsidRPr="00652957">
        <w:rPr>
          <w:rFonts w:ascii="Arial" w:hAnsi="Arial" w:cs="Arial"/>
        </w:rPr>
        <w:t xml:space="preserve">Examples of circumstances or events that </w:t>
      </w:r>
      <w:r w:rsidRPr="00652957">
        <w:rPr>
          <w:rFonts w:ascii="Arial" w:hAnsi="Arial" w:cs="Arial"/>
          <w:b/>
        </w:rPr>
        <w:t>would not normally</w:t>
      </w:r>
      <w:r w:rsidRPr="00652957">
        <w:rPr>
          <w:rFonts w:ascii="Arial" w:hAnsi="Arial" w:cs="Arial"/>
        </w:rPr>
        <w:t xml:space="preserve"> be considered as valid </w:t>
      </w:r>
      <w:r>
        <w:rPr>
          <w:rFonts w:ascii="Arial" w:hAnsi="Arial" w:cs="Arial"/>
        </w:rPr>
        <w:t xml:space="preserve">reasons for deferring assessment </w:t>
      </w:r>
      <w:r w:rsidRPr="00652957">
        <w:rPr>
          <w:rFonts w:ascii="Arial" w:hAnsi="Arial" w:cs="Arial"/>
        </w:rPr>
        <w:t>include the following:</w:t>
      </w:r>
    </w:p>
    <w:p w14:paraId="02DFFCE0" w14:textId="77777777" w:rsidR="007A0570" w:rsidRPr="00652957" w:rsidRDefault="007A0570" w:rsidP="007A0570">
      <w:pPr>
        <w:pStyle w:val="NormalWeb"/>
        <w:tabs>
          <w:tab w:val="left" w:pos="851"/>
        </w:tabs>
        <w:spacing w:before="0" w:beforeAutospacing="0" w:after="0" w:afterAutospacing="0"/>
        <w:rPr>
          <w:rFonts w:ascii="Arial" w:hAnsi="Arial" w:cs="Arial"/>
        </w:rPr>
      </w:pPr>
    </w:p>
    <w:p w14:paraId="65F4CD67" w14:textId="77777777" w:rsidR="007A0570"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p</w:t>
      </w:r>
      <w:r w:rsidRPr="00652957">
        <w:rPr>
          <w:rFonts w:ascii="Arial" w:hAnsi="Arial" w:cs="Arial"/>
        </w:rPr>
        <w:t>lanned events, such as holidays, house moves, or planned activities such as extracurricular commitments that coul</w:t>
      </w:r>
      <w:r>
        <w:rPr>
          <w:rFonts w:ascii="Arial" w:hAnsi="Arial" w:cs="Arial"/>
        </w:rPr>
        <w:t>d reasonably have been expected</w:t>
      </w:r>
    </w:p>
    <w:p w14:paraId="7B78D2D1" w14:textId="77777777" w:rsidR="007A0570" w:rsidRPr="00652957" w:rsidRDefault="007A0570" w:rsidP="007A0570">
      <w:pPr>
        <w:pStyle w:val="NormalWeb"/>
        <w:tabs>
          <w:tab w:val="left" w:pos="1418"/>
        </w:tabs>
        <w:spacing w:before="0" w:beforeAutospacing="0" w:after="0" w:afterAutospacing="0"/>
        <w:rPr>
          <w:rFonts w:ascii="Arial" w:hAnsi="Arial" w:cs="Arial"/>
        </w:rPr>
      </w:pPr>
    </w:p>
    <w:p w14:paraId="653C8A12" w14:textId="77777777" w:rsidR="007A0570"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a</w:t>
      </w:r>
      <w:r w:rsidRPr="00652957">
        <w:rPr>
          <w:rFonts w:ascii="Arial" w:hAnsi="Arial" w:cs="Arial"/>
        </w:rPr>
        <w:t>ssessments scheduled clo</w:t>
      </w:r>
      <w:r>
        <w:rPr>
          <w:rFonts w:ascii="Arial" w:hAnsi="Arial" w:cs="Arial"/>
        </w:rPr>
        <w:t>se together or on the same day</w:t>
      </w:r>
    </w:p>
    <w:p w14:paraId="5E89AEFA" w14:textId="77777777" w:rsidR="007A0570" w:rsidRDefault="007A0570" w:rsidP="007A0570">
      <w:pPr>
        <w:pStyle w:val="ListParagraph"/>
        <w:tabs>
          <w:tab w:val="left" w:pos="1418"/>
        </w:tabs>
        <w:ind w:left="0"/>
      </w:pPr>
    </w:p>
    <w:p w14:paraId="630A8FE0" w14:textId="77777777" w:rsidR="007A0570" w:rsidRPr="006D3B57"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m</w:t>
      </w:r>
      <w:r w:rsidRPr="005A2A0B">
        <w:rPr>
          <w:rFonts w:ascii="Arial" w:hAnsi="Arial" w:cs="Arial"/>
        </w:rPr>
        <w:t>isreading timetables, misunderstanding the requirements for assessment, and/or inadequ</w:t>
      </w:r>
      <w:r>
        <w:rPr>
          <w:rFonts w:ascii="Arial" w:hAnsi="Arial" w:cs="Arial"/>
        </w:rPr>
        <w:t>ate planning or time management</w:t>
      </w:r>
    </w:p>
    <w:p w14:paraId="273E6329" w14:textId="77777777" w:rsidR="007A0570" w:rsidRDefault="007A0570" w:rsidP="007A0570">
      <w:pPr>
        <w:pStyle w:val="ListParagraph"/>
        <w:tabs>
          <w:tab w:val="left" w:pos="1418"/>
        </w:tabs>
        <w:ind w:left="0"/>
      </w:pPr>
    </w:p>
    <w:p w14:paraId="1F6EED1E" w14:textId="77777777" w:rsidR="007A0570"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t</w:t>
      </w:r>
      <w:r w:rsidRPr="00652957">
        <w:rPr>
          <w:rFonts w:ascii="Arial" w:hAnsi="Arial" w:cs="Arial"/>
        </w:rPr>
        <w:t>echnical failure, loss, breakage, or theft of an individual computer, printer or storage device preven</w:t>
      </w:r>
      <w:r>
        <w:rPr>
          <w:rFonts w:ascii="Arial" w:hAnsi="Arial" w:cs="Arial"/>
        </w:rPr>
        <w:t>ting submission of work on time</w:t>
      </w:r>
    </w:p>
    <w:p w14:paraId="7D8B6DD6" w14:textId="77777777" w:rsidR="007A0570" w:rsidRDefault="007A0570" w:rsidP="007A0570">
      <w:pPr>
        <w:pStyle w:val="ListParagraph"/>
        <w:tabs>
          <w:tab w:val="left" w:pos="1418"/>
        </w:tabs>
        <w:ind w:left="0"/>
      </w:pPr>
    </w:p>
    <w:p w14:paraId="6901B80E" w14:textId="77777777" w:rsidR="007A0570"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m</w:t>
      </w:r>
      <w:r w:rsidRPr="00652957">
        <w:rPr>
          <w:rFonts w:ascii="Arial" w:hAnsi="Arial" w:cs="Arial"/>
        </w:rPr>
        <w:t>inor disruption whilst under exami</w:t>
      </w:r>
      <w:r>
        <w:rPr>
          <w:rFonts w:ascii="Arial" w:hAnsi="Arial" w:cs="Arial"/>
        </w:rPr>
        <w:t>nation or assessment conditions</w:t>
      </w:r>
    </w:p>
    <w:p w14:paraId="01FEE11C" w14:textId="77777777" w:rsidR="007A0570" w:rsidRDefault="007A0570" w:rsidP="007A0570">
      <w:pPr>
        <w:pStyle w:val="ListParagraph"/>
        <w:tabs>
          <w:tab w:val="left" w:pos="1418"/>
        </w:tabs>
        <w:ind w:left="0"/>
      </w:pPr>
    </w:p>
    <w:p w14:paraId="2A0E917E" w14:textId="77777777" w:rsidR="007A0570"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l</w:t>
      </w:r>
      <w:r w:rsidRPr="00652957">
        <w:rPr>
          <w:rFonts w:ascii="Arial" w:hAnsi="Arial" w:cs="Arial"/>
        </w:rPr>
        <w:t>ast-minute o</w:t>
      </w:r>
      <w:r>
        <w:rPr>
          <w:rFonts w:ascii="Arial" w:hAnsi="Arial" w:cs="Arial"/>
        </w:rPr>
        <w:t>r careless travel arrangements</w:t>
      </w:r>
    </w:p>
    <w:p w14:paraId="0BF04999" w14:textId="77777777" w:rsidR="007A0570" w:rsidRDefault="007A0570" w:rsidP="007A0570">
      <w:pPr>
        <w:pStyle w:val="ListParagraph"/>
        <w:tabs>
          <w:tab w:val="left" w:pos="1418"/>
        </w:tabs>
        <w:ind w:left="0"/>
      </w:pPr>
    </w:p>
    <w:p w14:paraId="1C442D41" w14:textId="77777777" w:rsidR="007A0570" w:rsidRPr="00652957" w:rsidRDefault="007A0570" w:rsidP="007A0570">
      <w:pPr>
        <w:pStyle w:val="NormalWeb"/>
        <w:numPr>
          <w:ilvl w:val="0"/>
          <w:numId w:val="7"/>
        </w:numPr>
        <w:tabs>
          <w:tab w:val="left" w:pos="1418"/>
        </w:tabs>
        <w:spacing w:before="0" w:beforeAutospacing="0" w:after="0" w:afterAutospacing="0"/>
        <w:ind w:left="1418" w:hanging="567"/>
        <w:rPr>
          <w:rFonts w:ascii="Arial" w:hAnsi="Arial" w:cs="Arial"/>
        </w:rPr>
      </w:pPr>
      <w:r>
        <w:rPr>
          <w:rFonts w:ascii="Arial" w:hAnsi="Arial" w:cs="Arial"/>
        </w:rPr>
        <w:t>c</w:t>
      </w:r>
      <w:r w:rsidRPr="00652957">
        <w:rPr>
          <w:rFonts w:ascii="Arial" w:hAnsi="Arial" w:cs="Arial"/>
        </w:rPr>
        <w:t xml:space="preserve">ircumstances caused by the withdrawal of </w:t>
      </w:r>
      <w:r>
        <w:rPr>
          <w:rFonts w:ascii="Arial" w:hAnsi="Arial" w:cs="Arial"/>
        </w:rPr>
        <w:t>information technology</w:t>
      </w:r>
      <w:r w:rsidRPr="00652957">
        <w:rPr>
          <w:rFonts w:ascii="Arial" w:hAnsi="Arial" w:cs="Arial"/>
        </w:rPr>
        <w:t xml:space="preserve"> services, learning resources or facilities due to debt or non-paymen</w:t>
      </w:r>
      <w:r>
        <w:rPr>
          <w:rFonts w:ascii="Arial" w:hAnsi="Arial" w:cs="Arial"/>
        </w:rPr>
        <w:t>t of fees due to the University.</w:t>
      </w:r>
    </w:p>
    <w:p w14:paraId="7E88D2B4" w14:textId="77777777" w:rsidR="007A0570" w:rsidRDefault="007A0570" w:rsidP="007A0570">
      <w:pPr>
        <w:pStyle w:val="Default"/>
      </w:pPr>
    </w:p>
    <w:p w14:paraId="5AB82C77" w14:textId="77777777" w:rsidR="009E2B9E" w:rsidRDefault="009E2B9E" w:rsidP="007A0570">
      <w:pPr>
        <w:tabs>
          <w:tab w:val="left" w:pos="851"/>
        </w:tabs>
        <w:rPr>
          <w:rFonts w:ascii="Arial" w:hAnsi="Arial" w:cs="Arial"/>
          <w:b/>
          <w:lang w:eastAsia="en-GB"/>
        </w:rPr>
        <w:sectPr w:rsidR="009E2B9E" w:rsidSect="00E60AC2">
          <w:pgSz w:w="11906" w:h="16838" w:code="9"/>
          <w:pgMar w:top="1418" w:right="1134" w:bottom="567" w:left="1134" w:header="709" w:footer="709" w:gutter="0"/>
          <w:cols w:space="708"/>
          <w:titlePg/>
          <w:docGrid w:linePitch="360"/>
        </w:sectPr>
      </w:pPr>
    </w:p>
    <w:p w14:paraId="62083727" w14:textId="44465F05" w:rsidR="007A0570" w:rsidRDefault="007A0570" w:rsidP="007A0570">
      <w:pPr>
        <w:tabs>
          <w:tab w:val="left" w:pos="851"/>
        </w:tabs>
        <w:rPr>
          <w:rFonts w:ascii="Arial" w:hAnsi="Arial" w:cs="Arial"/>
          <w:b/>
          <w:lang w:eastAsia="en-GB"/>
        </w:rPr>
      </w:pPr>
      <w:r>
        <w:rPr>
          <w:rFonts w:ascii="Arial" w:hAnsi="Arial" w:cs="Arial"/>
          <w:b/>
          <w:lang w:eastAsia="en-GB"/>
        </w:rPr>
        <w:lastRenderedPageBreak/>
        <w:t xml:space="preserve">EC1.6 </w:t>
      </w:r>
      <w:r>
        <w:rPr>
          <w:rFonts w:ascii="Arial" w:hAnsi="Arial" w:cs="Arial"/>
          <w:b/>
          <w:lang w:eastAsia="en-GB"/>
        </w:rPr>
        <w:tab/>
        <w:t>Application for Deferral of Assessment</w:t>
      </w:r>
    </w:p>
    <w:p w14:paraId="7038C56E" w14:textId="1B918D0C" w:rsidR="007A0570" w:rsidRDefault="007A0570" w:rsidP="007A0570">
      <w:pPr>
        <w:pStyle w:val="Default"/>
        <w:tabs>
          <w:tab w:val="left" w:pos="851"/>
        </w:tabs>
        <w:spacing w:before="120"/>
        <w:ind w:left="851"/>
      </w:pPr>
      <w:r w:rsidRPr="000C62AB">
        <w:t xml:space="preserve">Applications for </w:t>
      </w:r>
      <w:r w:rsidRPr="00287FDE">
        <w:t>Deferral</w:t>
      </w:r>
      <w:r w:rsidRPr="000C62AB">
        <w:t xml:space="preserve"> of Assessment can be made at any time up to the assessment point for which deferral is requested, whether this be a coursework submission date, a formal examination, a practical assessment or any other form of assessment.</w:t>
      </w:r>
    </w:p>
    <w:p w14:paraId="333A10E6" w14:textId="4CD74413" w:rsidR="00BB6033" w:rsidRDefault="00BB6033" w:rsidP="007A0570">
      <w:pPr>
        <w:pStyle w:val="Default"/>
        <w:tabs>
          <w:tab w:val="left" w:pos="851"/>
        </w:tabs>
        <w:spacing w:before="120"/>
        <w:ind w:left="851"/>
      </w:pPr>
      <w:r>
        <w:t xml:space="preserve">Applications for deferral should be submitted on </w:t>
      </w:r>
      <w:r w:rsidR="00A60657">
        <w:t xml:space="preserve">the </w:t>
      </w:r>
      <w:hyperlink r:id="rId12" w:history="1">
        <w:r w:rsidRPr="00A60657">
          <w:rPr>
            <w:rStyle w:val="Hyperlink"/>
          </w:rPr>
          <w:t xml:space="preserve">DA1 </w:t>
        </w:r>
        <w:r w:rsidR="00A60657" w:rsidRPr="00A60657">
          <w:rPr>
            <w:rStyle w:val="Hyperlink"/>
          </w:rPr>
          <w:t>for</w:t>
        </w:r>
        <w:r w:rsidR="00A60657" w:rsidRPr="00A60657">
          <w:rPr>
            <w:rStyle w:val="Hyperlink"/>
          </w:rPr>
          <w:t>m</w:t>
        </w:r>
        <w:r w:rsidR="00A60657" w:rsidRPr="00A60657">
          <w:rPr>
            <w:rStyle w:val="Hyperlink"/>
          </w:rPr>
          <w:t xml:space="preserve"> o</w:t>
        </w:r>
        <w:r w:rsidRPr="00A60657">
          <w:rPr>
            <w:rStyle w:val="Hyperlink"/>
          </w:rPr>
          <w:t>nline</w:t>
        </w:r>
      </w:hyperlink>
      <w:r w:rsidR="00A60657">
        <w:t xml:space="preserve"> (also available from the </w:t>
      </w:r>
      <w:hyperlink r:id="rId13" w:history="1">
        <w:r w:rsidR="00A60657" w:rsidRPr="00A60657">
          <w:rPr>
            <w:rStyle w:val="Hyperlink"/>
          </w:rPr>
          <w:t>MyNapier F</w:t>
        </w:r>
        <w:r w:rsidR="00A60657" w:rsidRPr="00A60657">
          <w:rPr>
            <w:rStyle w:val="Hyperlink"/>
          </w:rPr>
          <w:t>i</w:t>
        </w:r>
        <w:r w:rsidR="00A60657" w:rsidRPr="00A60657">
          <w:rPr>
            <w:rStyle w:val="Hyperlink"/>
          </w:rPr>
          <w:t>t to Sit page</w:t>
        </w:r>
      </w:hyperlink>
      <w:r w:rsidR="00A60657">
        <w:t>)</w:t>
      </w:r>
      <w:r>
        <w:rPr>
          <w:color w:val="1F497D"/>
        </w:rPr>
        <w:t xml:space="preserve"> </w:t>
      </w:r>
      <w:r>
        <w:t>A confirmation email will be issued on submission of the form and this should be retained by the student as evidence that the application was submitted. Please note that the application process will only use the university email address supplied to the student. Receipt of form DA1 does not mean that the extenuating circumstances have been accepted as valid or that deferral of assessment has been approved.</w:t>
      </w:r>
    </w:p>
    <w:p w14:paraId="4E479D9F" w14:textId="77777777" w:rsidR="007A0570" w:rsidRDefault="007A0570" w:rsidP="007A0570">
      <w:pPr>
        <w:pStyle w:val="Default"/>
        <w:tabs>
          <w:tab w:val="left" w:pos="851"/>
        </w:tabs>
        <w:spacing w:before="120"/>
        <w:ind w:left="851"/>
      </w:pPr>
    </w:p>
    <w:p w14:paraId="74F03180" w14:textId="2CF75CF4" w:rsidR="007A0570" w:rsidRPr="00652957" w:rsidRDefault="007A0570" w:rsidP="007A0570">
      <w:pPr>
        <w:pStyle w:val="Default"/>
        <w:tabs>
          <w:tab w:val="left" w:pos="851"/>
        </w:tabs>
        <w:rPr>
          <w:b/>
        </w:rPr>
      </w:pPr>
      <w:r>
        <w:rPr>
          <w:b/>
        </w:rPr>
        <w:t>EC</w:t>
      </w:r>
      <w:r w:rsidRPr="00652957">
        <w:rPr>
          <w:b/>
        </w:rPr>
        <w:t>2</w:t>
      </w:r>
      <w:r w:rsidRPr="00652957">
        <w:rPr>
          <w:b/>
        </w:rPr>
        <w:tab/>
        <w:t xml:space="preserve">Submission of </w:t>
      </w:r>
      <w:r>
        <w:rPr>
          <w:b/>
        </w:rPr>
        <w:t>Applications for Deferral</w:t>
      </w:r>
      <w:r w:rsidRPr="00652957">
        <w:rPr>
          <w:b/>
        </w:rPr>
        <w:t xml:space="preserve"> </w:t>
      </w:r>
    </w:p>
    <w:p w14:paraId="3DA7E4C6" w14:textId="34769026" w:rsidR="007A0570" w:rsidRPr="00C31B3B" w:rsidRDefault="007A0570" w:rsidP="007A0570">
      <w:pPr>
        <w:tabs>
          <w:tab w:val="left" w:pos="851"/>
        </w:tabs>
        <w:spacing w:before="120"/>
        <w:ind w:left="851"/>
        <w:rPr>
          <w:rFonts w:ascii="Arial" w:hAnsi="Arial" w:cs="Arial"/>
          <w:color w:val="FF33CC"/>
        </w:rPr>
      </w:pPr>
      <w:r w:rsidRPr="00652957">
        <w:rPr>
          <w:rFonts w:ascii="Arial" w:hAnsi="Arial" w:cs="Arial"/>
        </w:rPr>
        <w:t xml:space="preserve">Students are expected to </w:t>
      </w:r>
      <w:r>
        <w:rPr>
          <w:rFonts w:ascii="Arial" w:hAnsi="Arial" w:cs="Arial"/>
        </w:rPr>
        <w:t>support their applications for deferral with</w:t>
      </w:r>
      <w:r w:rsidRPr="00652957">
        <w:rPr>
          <w:rFonts w:ascii="Arial" w:hAnsi="Arial" w:cs="Arial"/>
        </w:rPr>
        <w:t xml:space="preserve"> medical or other evidence in support of their submission, identifying the impact of particular difficulties </w:t>
      </w:r>
      <w:r>
        <w:rPr>
          <w:rFonts w:ascii="Arial" w:hAnsi="Arial" w:cs="Arial"/>
        </w:rPr>
        <w:t>on</w:t>
      </w:r>
      <w:r w:rsidRPr="00652957">
        <w:rPr>
          <w:rFonts w:ascii="Arial" w:hAnsi="Arial" w:cs="Arial"/>
        </w:rPr>
        <w:t xml:space="preserve"> the completion of coursework or assessments</w:t>
      </w:r>
      <w:r>
        <w:rPr>
          <w:rFonts w:ascii="Arial" w:hAnsi="Arial" w:cs="Arial"/>
        </w:rPr>
        <w:t xml:space="preserve"> or attendance at an examination or class test.</w:t>
      </w:r>
      <w:r w:rsidRPr="00652957">
        <w:rPr>
          <w:rFonts w:ascii="Arial" w:hAnsi="Arial" w:cs="Arial"/>
        </w:rPr>
        <w:t xml:space="preserve"> </w:t>
      </w:r>
      <w:r w:rsidR="00A60657">
        <w:rPr>
          <w:rFonts w:ascii="Arial" w:hAnsi="Arial" w:cs="Arial"/>
        </w:rPr>
        <w:t xml:space="preserve"> Documentary evidence can be uploaded to the online DA1 form.</w:t>
      </w:r>
      <w:r w:rsidR="00A60657" w:rsidRPr="00652957">
        <w:rPr>
          <w:b/>
        </w:rPr>
        <w:t xml:space="preserve"> </w:t>
      </w:r>
    </w:p>
    <w:p w14:paraId="6D0061B5" w14:textId="77777777" w:rsidR="007A0570" w:rsidRDefault="007A0570" w:rsidP="007A0570">
      <w:pPr>
        <w:pStyle w:val="Default"/>
        <w:tabs>
          <w:tab w:val="left" w:pos="851"/>
        </w:tabs>
        <w:spacing w:before="120"/>
        <w:ind w:left="851"/>
        <w:rPr>
          <w:bCs/>
          <w:color w:val="auto"/>
        </w:rPr>
      </w:pPr>
      <w:r>
        <w:t xml:space="preserve">Applications must normally </w:t>
      </w:r>
      <w:r w:rsidRPr="000F29CB">
        <w:t>be</w:t>
      </w:r>
      <w:r w:rsidRPr="00652957">
        <w:t xml:space="preserve"> submitted </w:t>
      </w:r>
      <w:r>
        <w:t>prior to the assessment point for which deferral is being requested</w:t>
      </w:r>
      <w:r w:rsidRPr="00652957">
        <w:rPr>
          <w:bCs/>
          <w:color w:val="auto"/>
        </w:rPr>
        <w:t xml:space="preserve">. </w:t>
      </w:r>
      <w:r>
        <w:rPr>
          <w:bCs/>
          <w:color w:val="auto"/>
        </w:rPr>
        <w:t xml:space="preserve">Applications for deferral and submission of supporting evidence may </w:t>
      </w:r>
      <w:r w:rsidRPr="00652957">
        <w:rPr>
          <w:bCs/>
          <w:color w:val="auto"/>
        </w:rPr>
        <w:t xml:space="preserve">be accepted </w:t>
      </w:r>
      <w:r>
        <w:rPr>
          <w:bCs/>
          <w:color w:val="auto"/>
        </w:rPr>
        <w:t xml:space="preserve">up to five working days after the assessment point (including any permitted extension). </w:t>
      </w:r>
    </w:p>
    <w:p w14:paraId="42B15E88" w14:textId="77777777" w:rsidR="007A0570" w:rsidRDefault="007A0570" w:rsidP="007A0570">
      <w:pPr>
        <w:pStyle w:val="Default"/>
        <w:tabs>
          <w:tab w:val="left" w:pos="851"/>
        </w:tabs>
        <w:spacing w:before="120"/>
        <w:ind w:left="851"/>
        <w:rPr>
          <w:bCs/>
          <w:color w:val="auto"/>
        </w:rPr>
      </w:pPr>
    </w:p>
    <w:p w14:paraId="298451F6" w14:textId="77777777" w:rsidR="007A0570" w:rsidRPr="00652957" w:rsidRDefault="007A0570" w:rsidP="007A0570">
      <w:pPr>
        <w:pStyle w:val="Default"/>
        <w:tabs>
          <w:tab w:val="left" w:pos="851"/>
        </w:tabs>
        <w:rPr>
          <w:b/>
        </w:rPr>
      </w:pPr>
      <w:r>
        <w:rPr>
          <w:b/>
        </w:rPr>
        <w:t>EC</w:t>
      </w:r>
      <w:r w:rsidRPr="00652957">
        <w:rPr>
          <w:b/>
        </w:rPr>
        <w:t>2</w:t>
      </w:r>
      <w:r>
        <w:rPr>
          <w:b/>
        </w:rPr>
        <w:t>.1</w:t>
      </w:r>
      <w:r w:rsidRPr="00652957">
        <w:rPr>
          <w:b/>
        </w:rPr>
        <w:tab/>
      </w:r>
      <w:r>
        <w:rPr>
          <w:b/>
        </w:rPr>
        <w:t>Retrospective Applications for Extenuating Circumstances</w:t>
      </w:r>
      <w:r w:rsidRPr="00652957">
        <w:rPr>
          <w:b/>
        </w:rPr>
        <w:t xml:space="preserve"> </w:t>
      </w:r>
    </w:p>
    <w:p w14:paraId="544919F1" w14:textId="7801588F" w:rsidR="007A0570" w:rsidRPr="00C31B3B" w:rsidRDefault="007A0570" w:rsidP="007A0570">
      <w:pPr>
        <w:pStyle w:val="Default"/>
        <w:tabs>
          <w:tab w:val="left" w:pos="851"/>
        </w:tabs>
        <w:spacing w:before="120"/>
        <w:ind w:left="851"/>
        <w:rPr>
          <w:bCs/>
          <w:color w:val="FF33CC"/>
        </w:rPr>
      </w:pPr>
      <w:r>
        <w:rPr>
          <w:bCs/>
          <w:color w:val="auto"/>
        </w:rPr>
        <w:t>Where it has not been possible to submit an application for deferral prior to or within five working days of the assessment point,</w:t>
      </w:r>
      <w:r w:rsidRPr="00652957">
        <w:rPr>
          <w:bCs/>
          <w:color w:val="auto"/>
        </w:rPr>
        <w:t xml:space="preserve"> </w:t>
      </w:r>
      <w:r>
        <w:rPr>
          <w:bCs/>
          <w:color w:val="auto"/>
        </w:rPr>
        <w:t>students may submit an application for Retrospective Extenuating Circumstances</w:t>
      </w:r>
      <w:r w:rsidR="00A60657">
        <w:rPr>
          <w:bCs/>
          <w:color w:val="auto"/>
        </w:rPr>
        <w:t xml:space="preserve"> on the </w:t>
      </w:r>
      <w:hyperlink r:id="rId14" w:history="1">
        <w:r w:rsidR="00A60657" w:rsidRPr="00A60657">
          <w:rPr>
            <w:rStyle w:val="Hyperlink"/>
            <w:bCs/>
          </w:rPr>
          <w:t>EC1 onl</w:t>
        </w:r>
        <w:r w:rsidR="00A60657" w:rsidRPr="00A60657">
          <w:rPr>
            <w:rStyle w:val="Hyperlink"/>
            <w:bCs/>
          </w:rPr>
          <w:t>i</w:t>
        </w:r>
        <w:r w:rsidR="00A60657" w:rsidRPr="00A60657">
          <w:rPr>
            <w:rStyle w:val="Hyperlink"/>
            <w:bCs/>
          </w:rPr>
          <w:t>n</w:t>
        </w:r>
        <w:r w:rsidR="00A60657" w:rsidRPr="00A60657">
          <w:rPr>
            <w:rStyle w:val="Hyperlink"/>
            <w:bCs/>
          </w:rPr>
          <w:t>e</w:t>
        </w:r>
        <w:r w:rsidR="00A60657" w:rsidRPr="00A60657">
          <w:rPr>
            <w:rStyle w:val="Hyperlink"/>
            <w:bCs/>
          </w:rPr>
          <w:t xml:space="preserve"> form</w:t>
        </w:r>
      </w:hyperlink>
      <w:r w:rsidR="00A60657">
        <w:rPr>
          <w:bCs/>
          <w:color w:val="auto"/>
        </w:rPr>
        <w:t xml:space="preserve"> </w:t>
      </w:r>
      <w:r w:rsidR="00A60657">
        <w:t xml:space="preserve">(also available from the </w:t>
      </w:r>
      <w:hyperlink r:id="rId15" w:history="1">
        <w:r w:rsidR="00A60657" w:rsidRPr="00A60657">
          <w:rPr>
            <w:rStyle w:val="Hyperlink"/>
          </w:rPr>
          <w:t>MyNapier</w:t>
        </w:r>
        <w:r w:rsidR="00A60657" w:rsidRPr="00A60657">
          <w:rPr>
            <w:rStyle w:val="Hyperlink"/>
          </w:rPr>
          <w:t xml:space="preserve"> </w:t>
        </w:r>
        <w:r w:rsidR="00A60657" w:rsidRPr="00A60657">
          <w:rPr>
            <w:rStyle w:val="Hyperlink"/>
          </w:rPr>
          <w:t xml:space="preserve">Fit </w:t>
        </w:r>
        <w:r w:rsidR="00A60657" w:rsidRPr="00A60657">
          <w:rPr>
            <w:rStyle w:val="Hyperlink"/>
          </w:rPr>
          <w:t>t</w:t>
        </w:r>
        <w:r w:rsidR="00A60657" w:rsidRPr="00A60657">
          <w:rPr>
            <w:rStyle w:val="Hyperlink"/>
          </w:rPr>
          <w:t>o Sit page</w:t>
        </w:r>
      </w:hyperlink>
      <w:r w:rsidR="00A60657">
        <w:t>)</w:t>
      </w:r>
      <w:r w:rsidRPr="00652957">
        <w:rPr>
          <w:bCs/>
          <w:color w:val="auto"/>
        </w:rPr>
        <w:t xml:space="preserve"> </w:t>
      </w:r>
      <w:r>
        <w:rPr>
          <w:bCs/>
          <w:color w:val="auto"/>
        </w:rPr>
        <w:t xml:space="preserve">The form should be submitted no later than five working days after the last scheduled examination date. </w:t>
      </w:r>
      <w:r w:rsidRPr="00652957">
        <w:rPr>
          <w:bCs/>
          <w:color w:val="auto"/>
        </w:rPr>
        <w:t xml:space="preserve">In such cases the student will be expected to detail how their extenuating circumstances prevented them from meeting the original </w:t>
      </w:r>
      <w:r>
        <w:rPr>
          <w:bCs/>
          <w:color w:val="auto"/>
        </w:rPr>
        <w:t>application d</w:t>
      </w:r>
      <w:r w:rsidRPr="00652957">
        <w:rPr>
          <w:bCs/>
          <w:color w:val="auto"/>
        </w:rPr>
        <w:t>eadline.</w:t>
      </w:r>
    </w:p>
    <w:p w14:paraId="137508A5" w14:textId="77777777" w:rsidR="007A0570" w:rsidRPr="00652957" w:rsidRDefault="007A0570" w:rsidP="007A0570">
      <w:pPr>
        <w:pStyle w:val="Default"/>
        <w:tabs>
          <w:tab w:val="left" w:pos="851"/>
        </w:tabs>
        <w:spacing w:before="120"/>
        <w:ind w:left="851"/>
        <w:rPr>
          <w:bCs/>
          <w:color w:val="auto"/>
        </w:rPr>
      </w:pPr>
      <w:r w:rsidRPr="00652957">
        <w:rPr>
          <w:bCs/>
          <w:color w:val="auto"/>
        </w:rPr>
        <w:t xml:space="preserve">These will be considered by an </w:t>
      </w:r>
      <w:r>
        <w:rPr>
          <w:bCs/>
          <w:color w:val="auto"/>
        </w:rPr>
        <w:t>Extenuating Circumstances Panel</w:t>
      </w:r>
      <w:r w:rsidRPr="00652957">
        <w:rPr>
          <w:bCs/>
          <w:color w:val="auto"/>
        </w:rPr>
        <w:t xml:space="preserve"> in line with </w:t>
      </w:r>
      <w:r>
        <w:rPr>
          <w:bCs/>
          <w:color w:val="auto"/>
        </w:rPr>
        <w:t>Regulations EC</w:t>
      </w:r>
      <w:r w:rsidRPr="00652957">
        <w:rPr>
          <w:bCs/>
          <w:color w:val="auto"/>
        </w:rPr>
        <w:t xml:space="preserve">4 and </w:t>
      </w:r>
      <w:r>
        <w:rPr>
          <w:bCs/>
          <w:color w:val="auto"/>
        </w:rPr>
        <w:t>EC</w:t>
      </w:r>
      <w:r w:rsidRPr="00652957">
        <w:rPr>
          <w:bCs/>
          <w:color w:val="auto"/>
        </w:rPr>
        <w:t>5.</w:t>
      </w:r>
    </w:p>
    <w:p w14:paraId="0BD97078" w14:textId="77777777" w:rsidR="007A0570" w:rsidRPr="00466106" w:rsidRDefault="007A0570" w:rsidP="007A0570">
      <w:pPr>
        <w:pStyle w:val="Default"/>
        <w:rPr>
          <w:bCs/>
          <w:color w:val="auto"/>
        </w:rPr>
      </w:pPr>
    </w:p>
    <w:p w14:paraId="2FBC6CDC" w14:textId="77777777" w:rsidR="007A0570" w:rsidRDefault="007A0570" w:rsidP="007A0570">
      <w:pPr>
        <w:pStyle w:val="Default"/>
        <w:tabs>
          <w:tab w:val="left" w:pos="851"/>
        </w:tabs>
        <w:rPr>
          <w:b/>
          <w:bCs/>
        </w:rPr>
      </w:pPr>
      <w:r>
        <w:rPr>
          <w:b/>
          <w:bCs/>
        </w:rPr>
        <w:t>EC</w:t>
      </w:r>
      <w:r w:rsidRPr="00652957">
        <w:rPr>
          <w:b/>
          <w:bCs/>
        </w:rPr>
        <w:t>2.</w:t>
      </w:r>
      <w:r>
        <w:rPr>
          <w:b/>
          <w:bCs/>
        </w:rPr>
        <w:t>2</w:t>
      </w:r>
      <w:r w:rsidRPr="00652957">
        <w:rPr>
          <w:b/>
          <w:bCs/>
        </w:rPr>
        <w:tab/>
        <w:t xml:space="preserve">Supporting </w:t>
      </w:r>
      <w:r>
        <w:rPr>
          <w:b/>
          <w:bCs/>
        </w:rPr>
        <w:t>e</w:t>
      </w:r>
      <w:r w:rsidRPr="00652957">
        <w:rPr>
          <w:b/>
          <w:bCs/>
        </w:rPr>
        <w:t>vidence</w:t>
      </w:r>
    </w:p>
    <w:p w14:paraId="6AA8EF6A" w14:textId="28467FDD" w:rsidR="007A0570" w:rsidRPr="00C31B3B" w:rsidRDefault="007A0570" w:rsidP="007A0570">
      <w:pPr>
        <w:pStyle w:val="Default"/>
        <w:spacing w:before="120"/>
        <w:ind w:left="851"/>
        <w:rPr>
          <w:bCs/>
          <w:color w:val="FF33CC"/>
        </w:rPr>
      </w:pPr>
      <w:r w:rsidRPr="00652957">
        <w:rPr>
          <w:bCs/>
        </w:rPr>
        <w:t>All submissions</w:t>
      </w:r>
      <w:r>
        <w:rPr>
          <w:bCs/>
        </w:rPr>
        <w:t xml:space="preserve"> for deferral of assessment m</w:t>
      </w:r>
      <w:r w:rsidRPr="00652957">
        <w:rPr>
          <w:bCs/>
        </w:rPr>
        <w:t>ust be accompanied by suitable, relevant third party evidence which must name</w:t>
      </w:r>
      <w:r>
        <w:rPr>
          <w:bCs/>
        </w:rPr>
        <w:t>,</w:t>
      </w:r>
      <w:r w:rsidRPr="00652957">
        <w:rPr>
          <w:bCs/>
        </w:rPr>
        <w:t xml:space="preserve"> or be directly relevant to</w:t>
      </w:r>
      <w:r>
        <w:rPr>
          <w:bCs/>
        </w:rPr>
        <w:t>,</w:t>
      </w:r>
      <w:r w:rsidRPr="00652957">
        <w:rPr>
          <w:bCs/>
        </w:rPr>
        <w:t xml:space="preserve"> the person submitti</w:t>
      </w:r>
      <w:r>
        <w:rPr>
          <w:bCs/>
        </w:rPr>
        <w:t>ng the deferral</w:t>
      </w:r>
      <w:r w:rsidRPr="00652957">
        <w:rPr>
          <w:bCs/>
        </w:rPr>
        <w:t xml:space="preserve"> form</w:t>
      </w:r>
      <w:r>
        <w:rPr>
          <w:bCs/>
        </w:rPr>
        <w:t>. L</w:t>
      </w:r>
      <w:r w:rsidRPr="00652957">
        <w:rPr>
          <w:bCs/>
        </w:rPr>
        <w:t>etters</w:t>
      </w:r>
      <w:r>
        <w:rPr>
          <w:bCs/>
        </w:rPr>
        <w:t xml:space="preserve"> of support</w:t>
      </w:r>
      <w:r w:rsidRPr="00652957">
        <w:rPr>
          <w:bCs/>
        </w:rPr>
        <w:t xml:space="preserve"> must be the original, signed and submitted on headed paper.  </w:t>
      </w:r>
      <w:r w:rsidR="00A60657" w:rsidRPr="00A60657">
        <w:t xml:space="preserve"> </w:t>
      </w:r>
      <w:r w:rsidR="00A60657">
        <w:t>Documentary evidence can be uploaded to the relevant online</w:t>
      </w:r>
      <w:r w:rsidR="00D918A9" w:rsidRPr="00D918A9">
        <w:t xml:space="preserve"> </w:t>
      </w:r>
      <w:r w:rsidR="00A60657">
        <w:t xml:space="preserve">form. </w:t>
      </w:r>
    </w:p>
    <w:p w14:paraId="5882BCC3" w14:textId="77777777" w:rsidR="002A3D3F" w:rsidRDefault="002A3D3F" w:rsidP="007A0570">
      <w:pPr>
        <w:pStyle w:val="Default"/>
        <w:ind w:left="851"/>
        <w:rPr>
          <w:bCs/>
        </w:rPr>
      </w:pPr>
    </w:p>
    <w:p w14:paraId="01D0CC44" w14:textId="2DACC809" w:rsidR="007A0570" w:rsidRPr="00652957" w:rsidRDefault="007A0570" w:rsidP="007A0570">
      <w:pPr>
        <w:pStyle w:val="Default"/>
        <w:ind w:left="851"/>
        <w:rPr>
          <w:bCs/>
        </w:rPr>
      </w:pPr>
      <w:r w:rsidRPr="00652957">
        <w:rPr>
          <w:bCs/>
        </w:rPr>
        <w:t xml:space="preserve">The following are illustrative examples of suitable supporting evidence: </w:t>
      </w:r>
    </w:p>
    <w:p w14:paraId="4238F64A" w14:textId="77777777" w:rsidR="007A0570" w:rsidRDefault="007A0570" w:rsidP="007A0570">
      <w:pPr>
        <w:numPr>
          <w:ilvl w:val="0"/>
          <w:numId w:val="8"/>
        </w:numPr>
        <w:tabs>
          <w:tab w:val="left" w:pos="1418"/>
        </w:tabs>
        <w:spacing w:before="120"/>
        <w:ind w:left="1418" w:hanging="567"/>
        <w:rPr>
          <w:rFonts w:ascii="Arial" w:hAnsi="Arial" w:cs="Arial"/>
        </w:rPr>
      </w:pPr>
      <w:r w:rsidRPr="00652957">
        <w:rPr>
          <w:rFonts w:ascii="Arial" w:hAnsi="Arial" w:cs="Arial"/>
        </w:rPr>
        <w:t>General Practitioner’s letter containing details of extenuating circumstances and the period covered</w:t>
      </w:r>
    </w:p>
    <w:p w14:paraId="1E4D4775" w14:textId="77777777" w:rsidR="007A0570" w:rsidRDefault="007A0570" w:rsidP="007A0570">
      <w:pPr>
        <w:numPr>
          <w:ilvl w:val="0"/>
          <w:numId w:val="8"/>
        </w:numPr>
        <w:tabs>
          <w:tab w:val="left" w:pos="1418"/>
        </w:tabs>
        <w:spacing w:before="120"/>
        <w:ind w:left="1418" w:hanging="567"/>
        <w:rPr>
          <w:rFonts w:ascii="Arial" w:hAnsi="Arial" w:cs="Arial"/>
        </w:rPr>
      </w:pPr>
      <w:r w:rsidRPr="00466106">
        <w:rPr>
          <w:rFonts w:ascii="Arial" w:hAnsi="Arial" w:cs="Arial"/>
        </w:rPr>
        <w:t>Other medical practitioner letter, e.g. from a hospital, private surgery, or clinic</w:t>
      </w:r>
    </w:p>
    <w:p w14:paraId="15BB246E" w14:textId="77777777" w:rsidR="007A0570" w:rsidRDefault="007A0570" w:rsidP="007A0570">
      <w:pPr>
        <w:numPr>
          <w:ilvl w:val="0"/>
          <w:numId w:val="8"/>
        </w:numPr>
        <w:tabs>
          <w:tab w:val="left" w:pos="1418"/>
        </w:tabs>
        <w:spacing w:before="120"/>
        <w:ind w:left="1418" w:hanging="567"/>
        <w:rPr>
          <w:rFonts w:ascii="Arial" w:hAnsi="Arial" w:cs="Arial"/>
        </w:rPr>
      </w:pPr>
      <w:r w:rsidRPr="00466106">
        <w:rPr>
          <w:rFonts w:ascii="Arial" w:hAnsi="Arial" w:cs="Arial"/>
        </w:rPr>
        <w:t>Court Ord</w:t>
      </w:r>
      <w:r>
        <w:rPr>
          <w:rFonts w:ascii="Arial" w:hAnsi="Arial" w:cs="Arial"/>
        </w:rPr>
        <w:t>er covering the relevant period</w:t>
      </w:r>
    </w:p>
    <w:p w14:paraId="47714A08"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lastRenderedPageBreak/>
        <w:t>n</w:t>
      </w:r>
      <w:r w:rsidRPr="00466106">
        <w:rPr>
          <w:rFonts w:ascii="Arial" w:hAnsi="Arial" w:cs="Arial"/>
        </w:rPr>
        <w:t xml:space="preserve">otice of </w:t>
      </w:r>
      <w:r>
        <w:rPr>
          <w:rFonts w:ascii="Arial" w:hAnsi="Arial" w:cs="Arial"/>
        </w:rPr>
        <w:t>s</w:t>
      </w:r>
      <w:r w:rsidRPr="00466106">
        <w:rPr>
          <w:rFonts w:ascii="Arial" w:hAnsi="Arial" w:cs="Arial"/>
        </w:rPr>
        <w:t>ummons to attend court, with relev</w:t>
      </w:r>
      <w:r>
        <w:rPr>
          <w:rFonts w:ascii="Arial" w:hAnsi="Arial" w:cs="Arial"/>
        </w:rPr>
        <w:t>ant dates</w:t>
      </w:r>
    </w:p>
    <w:p w14:paraId="6031E5FA"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a Sheriff Court Notice</w:t>
      </w:r>
    </w:p>
    <w:p w14:paraId="75509630"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a</w:t>
      </w:r>
      <w:r w:rsidRPr="00466106">
        <w:rPr>
          <w:rFonts w:ascii="Arial" w:hAnsi="Arial" w:cs="Arial"/>
        </w:rPr>
        <w:t xml:space="preserve"> legal notice or other verifiable letter from a solicitor</w:t>
      </w:r>
    </w:p>
    <w:p w14:paraId="2F9E9EA2"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a</w:t>
      </w:r>
      <w:r w:rsidRPr="00466106">
        <w:rPr>
          <w:rFonts w:ascii="Arial" w:hAnsi="Arial" w:cs="Arial"/>
        </w:rPr>
        <w:t xml:space="preserve"> notice of Jury Duty</w:t>
      </w:r>
    </w:p>
    <w:p w14:paraId="7338759B"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a</w:t>
      </w:r>
      <w:r w:rsidRPr="00466106">
        <w:rPr>
          <w:rFonts w:ascii="Arial" w:hAnsi="Arial" w:cs="Arial"/>
        </w:rPr>
        <w:t xml:space="preserve"> notice of deployment from armed fo</w:t>
      </w:r>
      <w:r>
        <w:rPr>
          <w:rFonts w:ascii="Arial" w:hAnsi="Arial" w:cs="Arial"/>
        </w:rPr>
        <w:t>rces or other government agency</w:t>
      </w:r>
    </w:p>
    <w:p w14:paraId="5804A375"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 xml:space="preserve">a </w:t>
      </w:r>
      <w:r w:rsidRPr="00466106">
        <w:rPr>
          <w:rFonts w:ascii="Arial" w:hAnsi="Arial" w:cs="Arial"/>
        </w:rPr>
        <w:t>police report, incident log, or formal caution notice where accompanied by a formal report</w:t>
      </w:r>
    </w:p>
    <w:p w14:paraId="44FFABED"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 xml:space="preserve">a </w:t>
      </w:r>
      <w:r w:rsidRPr="00466106">
        <w:rPr>
          <w:rFonts w:ascii="Arial" w:hAnsi="Arial" w:cs="Arial"/>
        </w:rPr>
        <w:t>death certificate</w:t>
      </w:r>
    </w:p>
    <w:p w14:paraId="1F737692" w14:textId="77777777" w:rsidR="007A0570" w:rsidRDefault="007A0570" w:rsidP="007A0570">
      <w:pPr>
        <w:numPr>
          <w:ilvl w:val="0"/>
          <w:numId w:val="8"/>
        </w:numPr>
        <w:tabs>
          <w:tab w:val="left" w:pos="1418"/>
        </w:tabs>
        <w:spacing w:before="120"/>
        <w:ind w:left="1418" w:hanging="567"/>
        <w:rPr>
          <w:rFonts w:ascii="Arial" w:hAnsi="Arial" w:cs="Arial"/>
        </w:rPr>
      </w:pPr>
      <w:r>
        <w:rPr>
          <w:rFonts w:ascii="Arial" w:hAnsi="Arial" w:cs="Arial"/>
        </w:rPr>
        <w:t xml:space="preserve">a </w:t>
      </w:r>
      <w:r w:rsidRPr="00466106">
        <w:rPr>
          <w:rFonts w:ascii="Arial" w:hAnsi="Arial" w:cs="Arial"/>
        </w:rPr>
        <w:t>notification of death from a r</w:t>
      </w:r>
      <w:r>
        <w:rPr>
          <w:rFonts w:ascii="Arial" w:hAnsi="Arial" w:cs="Arial"/>
        </w:rPr>
        <w:t>eco</w:t>
      </w:r>
      <w:r w:rsidRPr="00466106">
        <w:rPr>
          <w:rFonts w:ascii="Arial" w:hAnsi="Arial" w:cs="Arial"/>
        </w:rPr>
        <w:t>gnised and verifiable media source (for example a newspaper) may be acceptable in lie</w:t>
      </w:r>
      <w:r>
        <w:rPr>
          <w:rFonts w:ascii="Arial" w:hAnsi="Arial" w:cs="Arial"/>
        </w:rPr>
        <w:t>u of other documentary evidence</w:t>
      </w:r>
    </w:p>
    <w:p w14:paraId="2B987FDB" w14:textId="77777777" w:rsidR="007A0570" w:rsidRPr="00466106" w:rsidRDefault="007A0570" w:rsidP="007A0570">
      <w:pPr>
        <w:numPr>
          <w:ilvl w:val="0"/>
          <w:numId w:val="8"/>
        </w:numPr>
        <w:tabs>
          <w:tab w:val="left" w:pos="1418"/>
        </w:tabs>
        <w:spacing w:before="120"/>
        <w:ind w:left="1418" w:hanging="567"/>
        <w:rPr>
          <w:rFonts w:ascii="Arial" w:hAnsi="Arial" w:cs="Arial"/>
        </w:rPr>
      </w:pPr>
      <w:r>
        <w:rPr>
          <w:rFonts w:ascii="Arial" w:hAnsi="Arial" w:cs="Arial"/>
        </w:rPr>
        <w:t>a</w:t>
      </w:r>
      <w:r w:rsidRPr="00466106">
        <w:rPr>
          <w:rFonts w:ascii="Arial" w:hAnsi="Arial" w:cs="Arial"/>
          <w:iCs/>
        </w:rPr>
        <w:t xml:space="preserve"> counsellor’s letter, or University </w:t>
      </w:r>
      <w:r>
        <w:rPr>
          <w:rFonts w:ascii="Arial" w:hAnsi="Arial" w:cs="Arial"/>
          <w:iCs/>
        </w:rPr>
        <w:t>c</w:t>
      </w:r>
      <w:r w:rsidRPr="00466106">
        <w:rPr>
          <w:rFonts w:ascii="Arial" w:hAnsi="Arial" w:cs="Arial"/>
          <w:iCs/>
        </w:rPr>
        <w:t>ounsellor’s letter or Independent Student Advisory Services Advisor’s letter detailing any relevant non health and non-medical issues</w:t>
      </w:r>
    </w:p>
    <w:p w14:paraId="146DAC9C" w14:textId="77777777" w:rsidR="007A0570" w:rsidRPr="00466106" w:rsidRDefault="007A0570" w:rsidP="007A0570">
      <w:pPr>
        <w:numPr>
          <w:ilvl w:val="0"/>
          <w:numId w:val="8"/>
        </w:numPr>
        <w:tabs>
          <w:tab w:val="left" w:pos="1418"/>
        </w:tabs>
        <w:spacing w:before="120"/>
        <w:ind w:left="1418" w:hanging="567"/>
        <w:rPr>
          <w:rFonts w:ascii="Arial" w:hAnsi="Arial" w:cs="Arial"/>
        </w:rPr>
      </w:pPr>
      <w:r>
        <w:rPr>
          <w:rFonts w:ascii="Arial" w:hAnsi="Arial" w:cs="Arial"/>
        </w:rPr>
        <w:t>v</w:t>
      </w:r>
      <w:r w:rsidRPr="00466106">
        <w:rPr>
          <w:rFonts w:ascii="Arial" w:hAnsi="Arial" w:cs="Arial"/>
        </w:rPr>
        <w:t>isa documents or documents relating to revocation</w:t>
      </w:r>
      <w:r>
        <w:rPr>
          <w:rFonts w:ascii="Arial" w:hAnsi="Arial" w:cs="Arial"/>
        </w:rPr>
        <w:t>, tribunal or other visa issues.</w:t>
      </w:r>
    </w:p>
    <w:p w14:paraId="277A5C46" w14:textId="1F9311D2" w:rsidR="007A0570" w:rsidRPr="00652957" w:rsidRDefault="007A0570" w:rsidP="007A0570">
      <w:pPr>
        <w:pStyle w:val="Default"/>
      </w:pPr>
    </w:p>
    <w:p w14:paraId="1C32A826" w14:textId="77777777" w:rsidR="007A0570" w:rsidRPr="00652957" w:rsidRDefault="007A0570" w:rsidP="007A0570">
      <w:pPr>
        <w:pStyle w:val="Default"/>
        <w:tabs>
          <w:tab w:val="left" w:pos="851"/>
        </w:tabs>
        <w:rPr>
          <w:b/>
        </w:rPr>
      </w:pPr>
      <w:r>
        <w:rPr>
          <w:b/>
        </w:rPr>
        <w:t>EC</w:t>
      </w:r>
      <w:r w:rsidRPr="00652957">
        <w:rPr>
          <w:b/>
        </w:rPr>
        <w:t>3</w:t>
      </w:r>
      <w:r w:rsidRPr="00652957">
        <w:rPr>
          <w:b/>
        </w:rPr>
        <w:tab/>
        <w:t xml:space="preserve">Advice and </w:t>
      </w:r>
      <w:r>
        <w:rPr>
          <w:b/>
        </w:rPr>
        <w:t>g</w:t>
      </w:r>
      <w:r w:rsidRPr="00652957">
        <w:rPr>
          <w:b/>
        </w:rPr>
        <w:t xml:space="preserve">uidance </w:t>
      </w:r>
    </w:p>
    <w:p w14:paraId="5E696E8D" w14:textId="77777777" w:rsidR="007A0570" w:rsidRPr="00652957" w:rsidRDefault="007A0570" w:rsidP="007A0570">
      <w:pPr>
        <w:pStyle w:val="Default"/>
        <w:spacing w:before="120"/>
        <w:ind w:left="851"/>
      </w:pPr>
      <w:r w:rsidRPr="00652957">
        <w:t>Students are strongly encouraged to seek advice and guidance on these regulations, and on the preparation of their submission</w:t>
      </w:r>
      <w:r>
        <w:t xml:space="preserve">. </w:t>
      </w:r>
      <w:r w:rsidRPr="00652957">
        <w:t>The University has a wide range of sources of support and advisors and students are encouraged to seek advice, in the first instance, from one or more of the following:</w:t>
      </w:r>
    </w:p>
    <w:p w14:paraId="0DC312A2" w14:textId="77777777" w:rsidR="007A0570" w:rsidRDefault="007A0570" w:rsidP="007A0570">
      <w:pPr>
        <w:pStyle w:val="Default"/>
        <w:numPr>
          <w:ilvl w:val="0"/>
          <w:numId w:val="9"/>
        </w:numPr>
        <w:tabs>
          <w:tab w:val="left" w:pos="1418"/>
        </w:tabs>
        <w:spacing w:before="120"/>
        <w:ind w:hanging="589"/>
      </w:pPr>
      <w:r>
        <w:t>the School Extenuating Circumstances Officer</w:t>
      </w:r>
    </w:p>
    <w:p w14:paraId="0FAE8A8D" w14:textId="77777777" w:rsidR="007A0570" w:rsidRPr="00652957" w:rsidRDefault="007A0570" w:rsidP="007A0570">
      <w:pPr>
        <w:pStyle w:val="Default"/>
        <w:numPr>
          <w:ilvl w:val="0"/>
          <w:numId w:val="9"/>
        </w:numPr>
        <w:tabs>
          <w:tab w:val="left" w:pos="1418"/>
        </w:tabs>
        <w:spacing w:before="120"/>
        <w:ind w:hanging="589"/>
      </w:pPr>
      <w:r>
        <w:t>t</w:t>
      </w:r>
      <w:r w:rsidRPr="00652957">
        <w:t xml:space="preserve">he </w:t>
      </w:r>
      <w:r w:rsidR="00DD5E29">
        <w:t>Edinburgh Napier Students’ Association Advice (ENSA Advice)</w:t>
      </w:r>
      <w:r w:rsidRPr="00652957">
        <w:t xml:space="preserve"> located within</w:t>
      </w:r>
      <w:r w:rsidR="00DD5E29">
        <w:t xml:space="preserve"> Edinburgh</w:t>
      </w:r>
      <w:r w:rsidRPr="00652957">
        <w:t xml:space="preserve"> Napier Students Association</w:t>
      </w:r>
    </w:p>
    <w:p w14:paraId="3605F174" w14:textId="77777777" w:rsidR="007A0570" w:rsidRPr="00652957" w:rsidRDefault="007A0570" w:rsidP="007A0570">
      <w:pPr>
        <w:pStyle w:val="Default"/>
        <w:numPr>
          <w:ilvl w:val="0"/>
          <w:numId w:val="9"/>
        </w:numPr>
        <w:tabs>
          <w:tab w:val="left" w:pos="1418"/>
        </w:tabs>
        <w:spacing w:before="120"/>
        <w:ind w:hanging="589"/>
      </w:pPr>
      <w:r w:rsidRPr="00652957">
        <w:t>Student Wellbeing Support Services</w:t>
      </w:r>
    </w:p>
    <w:p w14:paraId="1D0CCBC1" w14:textId="77777777" w:rsidR="007A0570" w:rsidRPr="00652957" w:rsidRDefault="007A0570" w:rsidP="007A0570">
      <w:pPr>
        <w:pStyle w:val="Default"/>
        <w:numPr>
          <w:ilvl w:val="0"/>
          <w:numId w:val="9"/>
        </w:numPr>
        <w:tabs>
          <w:tab w:val="left" w:pos="1418"/>
        </w:tabs>
        <w:spacing w:before="120"/>
        <w:ind w:hanging="589"/>
      </w:pPr>
      <w:r>
        <w:t>r</w:t>
      </w:r>
      <w:r w:rsidRPr="00652957">
        <w:t>elevant Programme Leaders</w:t>
      </w:r>
    </w:p>
    <w:p w14:paraId="0EF17213" w14:textId="77777777" w:rsidR="007A0570" w:rsidRPr="00652957" w:rsidRDefault="007A0570" w:rsidP="007A0570">
      <w:pPr>
        <w:pStyle w:val="Default"/>
        <w:numPr>
          <w:ilvl w:val="0"/>
          <w:numId w:val="9"/>
        </w:numPr>
        <w:tabs>
          <w:tab w:val="left" w:pos="1418"/>
        </w:tabs>
        <w:spacing w:before="120"/>
        <w:ind w:hanging="589"/>
      </w:pPr>
      <w:r>
        <w:t>r</w:t>
      </w:r>
      <w:r w:rsidRPr="00652957">
        <w:t>elevant Module Leaders</w:t>
      </w:r>
    </w:p>
    <w:p w14:paraId="5FB1F6E7" w14:textId="77777777" w:rsidR="007A0570" w:rsidRPr="00652957" w:rsidRDefault="007A0570" w:rsidP="007A0570">
      <w:pPr>
        <w:pStyle w:val="Default"/>
        <w:numPr>
          <w:ilvl w:val="0"/>
          <w:numId w:val="9"/>
        </w:numPr>
        <w:tabs>
          <w:tab w:val="left" w:pos="1418"/>
        </w:tabs>
        <w:spacing w:before="120"/>
        <w:ind w:hanging="589"/>
      </w:pPr>
      <w:r w:rsidRPr="00652957">
        <w:t>Personal Development Tutors</w:t>
      </w:r>
    </w:p>
    <w:p w14:paraId="4959D801" w14:textId="77777777" w:rsidR="007A0570" w:rsidRPr="00652957" w:rsidRDefault="007A0570" w:rsidP="007A0570">
      <w:pPr>
        <w:pStyle w:val="Default"/>
        <w:numPr>
          <w:ilvl w:val="0"/>
          <w:numId w:val="9"/>
        </w:numPr>
        <w:tabs>
          <w:tab w:val="left" w:pos="1418"/>
        </w:tabs>
        <w:spacing w:before="120"/>
        <w:ind w:hanging="589"/>
      </w:pPr>
      <w:r>
        <w:t>other Advisory Staff</w:t>
      </w:r>
    </w:p>
    <w:p w14:paraId="16C08145" w14:textId="77777777" w:rsidR="007A0570" w:rsidRPr="00652957" w:rsidRDefault="007A0570" w:rsidP="007A0570">
      <w:pPr>
        <w:pStyle w:val="Default"/>
        <w:numPr>
          <w:ilvl w:val="0"/>
          <w:numId w:val="9"/>
        </w:numPr>
        <w:tabs>
          <w:tab w:val="left" w:pos="1418"/>
        </w:tabs>
        <w:spacing w:before="120"/>
        <w:ind w:hanging="589"/>
      </w:pPr>
      <w:r w:rsidRPr="00652957">
        <w:t>NHS Occupational Health Service (for nursing and midwifery students only).</w:t>
      </w:r>
    </w:p>
    <w:p w14:paraId="722C04E9" w14:textId="77777777" w:rsidR="007A0570" w:rsidRPr="00652957" w:rsidRDefault="007A0570" w:rsidP="007A0570">
      <w:pPr>
        <w:pStyle w:val="Default"/>
      </w:pPr>
    </w:p>
    <w:p w14:paraId="1DC55E7A" w14:textId="77777777" w:rsidR="007A0570" w:rsidRDefault="007A0570" w:rsidP="007A0570">
      <w:pPr>
        <w:pStyle w:val="Default"/>
        <w:ind w:left="851"/>
      </w:pPr>
      <w:r w:rsidRPr="00652957">
        <w:t>In addition to the above, students may also seek advice from the Citizens Advice Bureau, or othe</w:t>
      </w:r>
      <w:r>
        <w:t>r external advisory service.</w:t>
      </w:r>
    </w:p>
    <w:p w14:paraId="37C61D4D" w14:textId="77777777" w:rsidR="007A0570" w:rsidRPr="00652957" w:rsidRDefault="007A0570" w:rsidP="007A0570">
      <w:pPr>
        <w:pStyle w:val="Default"/>
        <w:ind w:left="851"/>
      </w:pPr>
    </w:p>
    <w:p w14:paraId="465EE88A" w14:textId="337ADE6A" w:rsidR="007A0570" w:rsidRPr="00F87926" w:rsidRDefault="007A0570" w:rsidP="007A0570">
      <w:pPr>
        <w:pStyle w:val="Default"/>
      </w:pPr>
      <w:r>
        <w:rPr>
          <w:b/>
        </w:rPr>
        <w:t>EC4</w:t>
      </w:r>
      <w:r w:rsidRPr="00652957">
        <w:rPr>
          <w:b/>
        </w:rPr>
        <w:tab/>
      </w:r>
      <w:r>
        <w:rPr>
          <w:b/>
        </w:rPr>
        <w:t>P</w:t>
      </w:r>
      <w:r w:rsidRPr="00652957">
        <w:rPr>
          <w:b/>
        </w:rPr>
        <w:t xml:space="preserve">rocedure and </w:t>
      </w:r>
      <w:r>
        <w:rPr>
          <w:b/>
        </w:rPr>
        <w:t>d</w:t>
      </w:r>
      <w:r w:rsidRPr="00652957">
        <w:rPr>
          <w:b/>
        </w:rPr>
        <w:t xml:space="preserve">ecision </w:t>
      </w:r>
      <w:r>
        <w:rPr>
          <w:b/>
        </w:rPr>
        <w:t>m</w:t>
      </w:r>
      <w:r w:rsidRPr="00652957">
        <w:rPr>
          <w:b/>
        </w:rPr>
        <w:t xml:space="preserve">aking </w:t>
      </w:r>
      <w:r>
        <w:rPr>
          <w:b/>
        </w:rPr>
        <w:t>p</w:t>
      </w:r>
      <w:r w:rsidRPr="00652957">
        <w:rPr>
          <w:b/>
        </w:rPr>
        <w:t xml:space="preserve">rocess </w:t>
      </w:r>
    </w:p>
    <w:p w14:paraId="420BE09B" w14:textId="77777777" w:rsidR="007A0570" w:rsidRDefault="007A0570" w:rsidP="007A0570">
      <w:pPr>
        <w:pStyle w:val="Default"/>
        <w:tabs>
          <w:tab w:val="left" w:pos="7655"/>
        </w:tabs>
        <w:spacing w:before="120"/>
        <w:ind w:left="851"/>
      </w:pPr>
      <w:r w:rsidRPr="00652957">
        <w:t>A</w:t>
      </w:r>
      <w:r>
        <w:t xml:space="preserve">pplications for deferral will be considered by the Extenuating Circumstances Officer in the first instance. Where the application is uncontentious and well supported by appropriate evidence the </w:t>
      </w:r>
      <w:r w:rsidRPr="007C10C1">
        <w:rPr>
          <w:sz w:val="22"/>
        </w:rPr>
        <w:t xml:space="preserve">Extenuating Circumstances Officer </w:t>
      </w:r>
      <w:r>
        <w:t xml:space="preserve">is empowered to make an immediate decision approving the application for deferral. </w:t>
      </w:r>
    </w:p>
    <w:p w14:paraId="5CB4786B" w14:textId="77777777" w:rsidR="007A0570" w:rsidRDefault="007A0570" w:rsidP="007A0570">
      <w:pPr>
        <w:pStyle w:val="Default"/>
        <w:spacing w:before="120"/>
        <w:ind w:left="851"/>
      </w:pPr>
      <w:r>
        <w:t>In cases w</w:t>
      </w:r>
      <w:r w:rsidRPr="00D52DB8">
        <w:t>here there is doubt about the validity of the claim or the supporting evidence</w:t>
      </w:r>
      <w:r>
        <w:t>, the Extenuating Circumstances Officer will consult with members of a School Extenuating Circumstances Panel.</w:t>
      </w:r>
    </w:p>
    <w:p w14:paraId="127C801C" w14:textId="77777777" w:rsidR="007A0570" w:rsidRDefault="007A0570" w:rsidP="007A0570">
      <w:pPr>
        <w:pStyle w:val="Default"/>
        <w:spacing w:before="120"/>
        <w:ind w:left="851"/>
        <w:rPr>
          <w:b/>
        </w:rPr>
      </w:pPr>
      <w:r>
        <w:lastRenderedPageBreak/>
        <w:t xml:space="preserve"> </w:t>
      </w:r>
    </w:p>
    <w:p w14:paraId="4D4B607A" w14:textId="77777777" w:rsidR="007A0570" w:rsidRPr="00652957" w:rsidRDefault="007A0570" w:rsidP="007A0570">
      <w:pPr>
        <w:pStyle w:val="Default"/>
        <w:tabs>
          <w:tab w:val="left" w:pos="851"/>
        </w:tabs>
        <w:rPr>
          <w:b/>
        </w:rPr>
      </w:pPr>
      <w:r>
        <w:rPr>
          <w:b/>
        </w:rPr>
        <w:t>EC4.1</w:t>
      </w:r>
      <w:r>
        <w:rPr>
          <w:b/>
        </w:rPr>
        <w:tab/>
      </w:r>
      <w:r w:rsidRPr="00652957">
        <w:rPr>
          <w:b/>
        </w:rPr>
        <w:t xml:space="preserve">Constitution of an Extenuating Circumstances </w:t>
      </w:r>
      <w:r>
        <w:rPr>
          <w:b/>
        </w:rPr>
        <w:t>Panel</w:t>
      </w:r>
    </w:p>
    <w:p w14:paraId="5FC10BE6" w14:textId="77777777" w:rsidR="007A0570" w:rsidRPr="0045702F" w:rsidRDefault="007A0570" w:rsidP="007A0570">
      <w:pPr>
        <w:pStyle w:val="Default"/>
        <w:spacing w:before="120"/>
        <w:ind w:left="720"/>
        <w:rPr>
          <w:color w:val="auto"/>
        </w:rPr>
      </w:pPr>
      <w:r w:rsidRPr="00652957">
        <w:t xml:space="preserve">An Extenuating Circumstances </w:t>
      </w:r>
      <w:r>
        <w:t>Panel</w:t>
      </w:r>
      <w:r w:rsidRPr="00652957">
        <w:t xml:space="preserve"> </w:t>
      </w:r>
      <w:r>
        <w:t>will</w:t>
      </w:r>
      <w:r w:rsidRPr="00652957">
        <w:t xml:space="preserve"> comprise a minimum of </w:t>
      </w:r>
      <w:r>
        <w:t>four</w:t>
      </w:r>
      <w:r w:rsidRPr="00652957">
        <w:t xml:space="preserve"> staff, including the </w:t>
      </w:r>
      <w:r>
        <w:t>Dean of School or their nominee, the Extenuating Circumstances Officer</w:t>
      </w:r>
      <w:r w:rsidRPr="00652957">
        <w:t xml:space="preserve"> and a member of staff from another </w:t>
      </w:r>
      <w:r>
        <w:t>school</w:t>
      </w:r>
      <w:r w:rsidRPr="00652957">
        <w:t xml:space="preserve">.  The general membership constituting an Extenuating Circumstances </w:t>
      </w:r>
      <w:r>
        <w:t>Panel</w:t>
      </w:r>
      <w:r w:rsidRPr="0045702F">
        <w:rPr>
          <w:color w:val="auto"/>
        </w:rPr>
        <w:t xml:space="preserve"> will be as prescribed in Regulation EC4.2.</w:t>
      </w:r>
    </w:p>
    <w:p w14:paraId="0BF25FC2" w14:textId="77777777" w:rsidR="007A0570" w:rsidRPr="00A3785B" w:rsidRDefault="007A0570" w:rsidP="007A0570">
      <w:pPr>
        <w:pStyle w:val="Default"/>
        <w:rPr>
          <w:color w:val="auto"/>
        </w:rPr>
      </w:pPr>
    </w:p>
    <w:p w14:paraId="6C5049D9" w14:textId="77777777" w:rsidR="007A0570" w:rsidRPr="00652957" w:rsidRDefault="007A0570" w:rsidP="007A0570">
      <w:pPr>
        <w:pStyle w:val="Default"/>
        <w:tabs>
          <w:tab w:val="left" w:pos="851"/>
        </w:tabs>
        <w:rPr>
          <w:b/>
        </w:rPr>
      </w:pPr>
      <w:r>
        <w:rPr>
          <w:b/>
        </w:rPr>
        <w:t>EC</w:t>
      </w:r>
      <w:r w:rsidRPr="00652957">
        <w:rPr>
          <w:b/>
        </w:rPr>
        <w:t>4.2</w:t>
      </w:r>
      <w:r w:rsidRPr="00652957">
        <w:rPr>
          <w:b/>
        </w:rPr>
        <w:tab/>
      </w:r>
      <w:r>
        <w:rPr>
          <w:b/>
        </w:rPr>
        <w:t>School</w:t>
      </w:r>
      <w:r w:rsidRPr="00652957">
        <w:rPr>
          <w:b/>
        </w:rPr>
        <w:t xml:space="preserve"> Extenuating Circumstances </w:t>
      </w:r>
      <w:r>
        <w:rPr>
          <w:b/>
        </w:rPr>
        <w:t>Panel</w:t>
      </w:r>
    </w:p>
    <w:p w14:paraId="5F2E08C2" w14:textId="77777777" w:rsidR="007A0570" w:rsidRPr="00652957" w:rsidRDefault="007A0570" w:rsidP="007A0570">
      <w:pPr>
        <w:pStyle w:val="Default"/>
        <w:spacing w:before="120"/>
        <w:ind w:left="851"/>
      </w:pPr>
      <w:r>
        <w:t xml:space="preserve">Membership of the </w:t>
      </w:r>
      <w:r w:rsidRPr="00652957">
        <w:t xml:space="preserve">Extenuating Circumstances </w:t>
      </w:r>
      <w:r>
        <w:t>Panel</w:t>
      </w:r>
      <w:r w:rsidRPr="00652957">
        <w:t xml:space="preserve"> </w:t>
      </w:r>
      <w:r>
        <w:t>can be drawn from the following</w:t>
      </w:r>
      <w:r w:rsidRPr="00652957">
        <w:t>:</w:t>
      </w:r>
    </w:p>
    <w:p w14:paraId="0412EF4B" w14:textId="77777777" w:rsidR="007A0570" w:rsidRDefault="007A0570" w:rsidP="007A0570">
      <w:pPr>
        <w:pStyle w:val="Default"/>
        <w:numPr>
          <w:ilvl w:val="0"/>
          <w:numId w:val="10"/>
        </w:numPr>
        <w:spacing w:before="120"/>
      </w:pPr>
      <w:r>
        <w:t>Extenuating Circumstances Officer</w:t>
      </w:r>
    </w:p>
    <w:p w14:paraId="6572CA8A" w14:textId="77777777" w:rsidR="007A0570" w:rsidRDefault="007A0570" w:rsidP="007A0570">
      <w:pPr>
        <w:pStyle w:val="Default"/>
        <w:numPr>
          <w:ilvl w:val="0"/>
          <w:numId w:val="10"/>
        </w:numPr>
        <w:spacing w:before="120"/>
      </w:pPr>
      <w:r>
        <w:t>The Dean of School or their nominee</w:t>
      </w:r>
    </w:p>
    <w:p w14:paraId="7FD0F61B" w14:textId="77777777" w:rsidR="007A0570" w:rsidRDefault="007A0570" w:rsidP="007A0570">
      <w:pPr>
        <w:pStyle w:val="Default"/>
        <w:numPr>
          <w:ilvl w:val="0"/>
          <w:numId w:val="10"/>
        </w:numPr>
        <w:tabs>
          <w:tab w:val="num" w:pos="1418"/>
        </w:tabs>
        <w:spacing w:before="120"/>
        <w:ind w:left="1418" w:hanging="567"/>
      </w:pPr>
      <w:r>
        <w:t xml:space="preserve">  </w:t>
      </w:r>
      <w:r w:rsidR="00DD5E29">
        <w:t xml:space="preserve">Head of Subject </w:t>
      </w:r>
    </w:p>
    <w:p w14:paraId="0E7E722E" w14:textId="77777777" w:rsidR="007A0570" w:rsidRDefault="007A0570" w:rsidP="007A0570">
      <w:pPr>
        <w:pStyle w:val="Default"/>
        <w:numPr>
          <w:ilvl w:val="0"/>
          <w:numId w:val="10"/>
        </w:numPr>
        <w:spacing w:before="120"/>
      </w:pPr>
      <w:r>
        <w:t>Members of School academic staff</w:t>
      </w:r>
    </w:p>
    <w:p w14:paraId="23EF18AB" w14:textId="77777777" w:rsidR="007A0570" w:rsidRDefault="007A0570" w:rsidP="007A0570">
      <w:pPr>
        <w:pStyle w:val="Default"/>
        <w:numPr>
          <w:ilvl w:val="0"/>
          <w:numId w:val="10"/>
        </w:numPr>
        <w:spacing w:before="120"/>
      </w:pPr>
      <w:r>
        <w:t>A member of academic staff from another School</w:t>
      </w:r>
    </w:p>
    <w:p w14:paraId="26921650" w14:textId="77777777" w:rsidR="007A0570" w:rsidRPr="00652957" w:rsidRDefault="00DD5E29" w:rsidP="007A0570">
      <w:pPr>
        <w:pStyle w:val="Default"/>
        <w:numPr>
          <w:ilvl w:val="0"/>
          <w:numId w:val="10"/>
        </w:numPr>
        <w:tabs>
          <w:tab w:val="num" w:pos="1418"/>
        </w:tabs>
        <w:spacing w:before="120"/>
        <w:ind w:left="1418" w:hanging="567"/>
      </w:pPr>
      <w:r>
        <w:t xml:space="preserve">  </w:t>
      </w:r>
      <w:r w:rsidR="007A0570">
        <w:t>a</w:t>
      </w:r>
      <w:r w:rsidR="007A0570" w:rsidRPr="00652957">
        <w:t xml:space="preserve"> </w:t>
      </w:r>
      <w:r w:rsidR="007A0570">
        <w:t>Clerk</w:t>
      </w:r>
      <w:r w:rsidR="007A0570" w:rsidRPr="00652957">
        <w:t xml:space="preserve"> to the </w:t>
      </w:r>
      <w:r w:rsidR="007A0570">
        <w:t>Panel</w:t>
      </w:r>
      <w:r w:rsidR="007A0570" w:rsidRPr="00652957">
        <w:t xml:space="preserve"> who will keep a confidential r</w:t>
      </w:r>
      <w:r w:rsidR="007A0570">
        <w:t>ecord</w:t>
      </w:r>
      <w:r w:rsidR="007A0570" w:rsidRPr="00652957">
        <w:t xml:space="preserve"> of membership, </w:t>
      </w:r>
      <w:r>
        <w:t xml:space="preserve">  </w:t>
      </w:r>
      <w:r w:rsidR="007A0570" w:rsidRPr="00652957">
        <w:t>proceedings and all decisions</w:t>
      </w:r>
      <w:r w:rsidR="007A0570">
        <w:t>.</w:t>
      </w:r>
    </w:p>
    <w:p w14:paraId="4D6ECBC3" w14:textId="77777777" w:rsidR="007A0570" w:rsidRDefault="007A0570" w:rsidP="007A0570">
      <w:pPr>
        <w:pStyle w:val="Default"/>
        <w:tabs>
          <w:tab w:val="left" w:pos="851"/>
        </w:tabs>
        <w:rPr>
          <w:b/>
        </w:rPr>
      </w:pPr>
    </w:p>
    <w:p w14:paraId="42D2CA96" w14:textId="77777777" w:rsidR="007A0570" w:rsidRDefault="007A0570" w:rsidP="007A0570">
      <w:pPr>
        <w:pStyle w:val="Default"/>
        <w:tabs>
          <w:tab w:val="left" w:pos="851"/>
        </w:tabs>
        <w:rPr>
          <w:b/>
        </w:rPr>
      </w:pPr>
      <w:r>
        <w:rPr>
          <w:b/>
        </w:rPr>
        <w:t>EC</w:t>
      </w:r>
      <w:r w:rsidRPr="00652957">
        <w:rPr>
          <w:b/>
        </w:rPr>
        <w:t>4.3</w:t>
      </w:r>
      <w:r w:rsidRPr="00652957">
        <w:rPr>
          <w:b/>
        </w:rPr>
        <w:tab/>
        <w:t>Schedule of</w:t>
      </w:r>
      <w:r>
        <w:rPr>
          <w:b/>
        </w:rPr>
        <w:t xml:space="preserve"> m</w:t>
      </w:r>
      <w:r w:rsidRPr="00652957">
        <w:rPr>
          <w:b/>
        </w:rPr>
        <w:t xml:space="preserve">eetings </w:t>
      </w:r>
    </w:p>
    <w:p w14:paraId="2BB2A360" w14:textId="77777777" w:rsidR="007A0570" w:rsidRPr="00652957" w:rsidRDefault="007A0570" w:rsidP="007A0570">
      <w:pPr>
        <w:pStyle w:val="Default"/>
        <w:tabs>
          <w:tab w:val="left" w:pos="851"/>
        </w:tabs>
        <w:rPr>
          <w:b/>
        </w:rPr>
      </w:pPr>
    </w:p>
    <w:p w14:paraId="7F326D44" w14:textId="4F5A4C97" w:rsidR="007A0570" w:rsidRPr="00652957" w:rsidRDefault="007A0570" w:rsidP="007A0570">
      <w:pPr>
        <w:pStyle w:val="Default"/>
        <w:ind w:left="851"/>
      </w:pPr>
      <w:r>
        <w:t>In addition to considering applications for deferral as required, t</w:t>
      </w:r>
      <w:r w:rsidRPr="00652957">
        <w:t xml:space="preserve">he Extenuating Circumstance </w:t>
      </w:r>
      <w:r>
        <w:t>Panel</w:t>
      </w:r>
      <w:r w:rsidRPr="00652957">
        <w:t xml:space="preserve"> </w:t>
      </w:r>
      <w:r>
        <w:t xml:space="preserve">will meet no later than two days prior to the Programme </w:t>
      </w:r>
      <w:r w:rsidR="00E31BA1">
        <w:t>Assessment Board</w:t>
      </w:r>
      <w:r>
        <w:t xml:space="preserve"> to consider applications for retrospective extenuating circumstances.</w:t>
      </w:r>
    </w:p>
    <w:p w14:paraId="4C96D046" w14:textId="77777777" w:rsidR="007A0570" w:rsidRDefault="007A0570" w:rsidP="007A0570">
      <w:pPr>
        <w:pStyle w:val="Default"/>
      </w:pPr>
    </w:p>
    <w:p w14:paraId="50C0EFF6" w14:textId="77777777" w:rsidR="007A0570" w:rsidRPr="00F87926" w:rsidRDefault="007A0570" w:rsidP="007A0570">
      <w:pPr>
        <w:pStyle w:val="Default"/>
        <w:ind w:left="720" w:hanging="720"/>
      </w:pPr>
      <w:r>
        <w:rPr>
          <w:b/>
        </w:rPr>
        <w:t>EC</w:t>
      </w:r>
      <w:r w:rsidRPr="00652957">
        <w:rPr>
          <w:b/>
        </w:rPr>
        <w:t>5</w:t>
      </w:r>
      <w:r w:rsidRPr="00652957">
        <w:rPr>
          <w:b/>
        </w:rPr>
        <w:tab/>
        <w:t xml:space="preserve">Procedure and </w:t>
      </w:r>
      <w:r>
        <w:rPr>
          <w:b/>
        </w:rPr>
        <w:t>d</w:t>
      </w:r>
      <w:r w:rsidRPr="00652957">
        <w:rPr>
          <w:b/>
        </w:rPr>
        <w:t xml:space="preserve">ecision </w:t>
      </w:r>
      <w:r>
        <w:rPr>
          <w:b/>
        </w:rPr>
        <w:t>m</w:t>
      </w:r>
      <w:r w:rsidRPr="00652957">
        <w:rPr>
          <w:b/>
        </w:rPr>
        <w:t xml:space="preserve">aking </w:t>
      </w:r>
      <w:r>
        <w:rPr>
          <w:b/>
        </w:rPr>
        <w:t>p</w:t>
      </w:r>
      <w:r w:rsidRPr="00652957">
        <w:rPr>
          <w:b/>
        </w:rPr>
        <w:t xml:space="preserve">rocess of an Extenuating Circumstances </w:t>
      </w:r>
      <w:r>
        <w:rPr>
          <w:b/>
        </w:rPr>
        <w:t>Panel</w:t>
      </w:r>
    </w:p>
    <w:p w14:paraId="14C284BD" w14:textId="563912A6" w:rsidR="007A0570" w:rsidRDefault="007A0570" w:rsidP="007A0570">
      <w:pPr>
        <w:pStyle w:val="Default"/>
        <w:spacing w:before="120"/>
        <w:ind w:left="851"/>
      </w:pPr>
      <w:r w:rsidRPr="00652957">
        <w:t xml:space="preserve">In considering </w:t>
      </w:r>
      <w:r>
        <w:t>applications for deferral or retrospective extenua</w:t>
      </w:r>
      <w:r w:rsidRPr="00652957">
        <w:t xml:space="preserve">ting circumstances, the </w:t>
      </w:r>
      <w:r>
        <w:t>Extenuating Circumstances Panel</w:t>
      </w:r>
      <w:r w:rsidRPr="00652957">
        <w:t xml:space="preserve"> </w:t>
      </w:r>
      <w:r>
        <w:t>will</w:t>
      </w:r>
      <w:r w:rsidRPr="00652957">
        <w:t xml:space="preserve"> take the following actions in respect of each submission</w:t>
      </w:r>
      <w:r>
        <w:t>, and will</w:t>
      </w:r>
      <w:r w:rsidRPr="00652957">
        <w:t xml:space="preserve"> report to the relevant Programme </w:t>
      </w:r>
      <w:r w:rsidR="00E31BA1">
        <w:t>Assessment Board</w:t>
      </w:r>
      <w:r>
        <w:t xml:space="preserve">. </w:t>
      </w:r>
    </w:p>
    <w:p w14:paraId="056B0E5F" w14:textId="77777777" w:rsidR="007A0570" w:rsidRDefault="007A0570" w:rsidP="007A0570">
      <w:pPr>
        <w:pStyle w:val="Default"/>
        <w:spacing w:before="120"/>
        <w:ind w:left="851"/>
      </w:pPr>
      <w:r>
        <w:t>The Panel will</w:t>
      </w:r>
      <w:r w:rsidRPr="00652957">
        <w:t xml:space="preserve"> make </w:t>
      </w:r>
      <w:r>
        <w:t xml:space="preserve">a </w:t>
      </w:r>
      <w:r w:rsidRPr="00652957">
        <w:t xml:space="preserve">formal decision on each submission and </w:t>
      </w:r>
      <w:r>
        <w:t>will</w:t>
      </w:r>
      <w:r w:rsidRPr="00652957">
        <w:t xml:space="preserve"> be entitled to take into account any other relevant information as they see fit, except the progression and award decisions of individual students.</w:t>
      </w:r>
    </w:p>
    <w:p w14:paraId="56ABF156" w14:textId="77777777" w:rsidR="002A3D3F" w:rsidRDefault="002A3D3F" w:rsidP="007A0570">
      <w:pPr>
        <w:pStyle w:val="Default"/>
        <w:spacing w:before="120"/>
        <w:ind w:left="851"/>
      </w:pPr>
    </w:p>
    <w:p w14:paraId="7712FF77" w14:textId="66D00DBD" w:rsidR="007A0570" w:rsidRDefault="002A3D3F" w:rsidP="007A0570">
      <w:pPr>
        <w:pStyle w:val="Default"/>
        <w:spacing w:before="120"/>
        <w:ind w:left="851"/>
      </w:pPr>
      <w:r>
        <w:t>T</w:t>
      </w:r>
      <w:r w:rsidR="007A0570" w:rsidRPr="00652957">
        <w:t xml:space="preserve">hree categories of decision can be made by the </w:t>
      </w:r>
      <w:r w:rsidR="007A0570">
        <w:t>Extenuating Circumstances Panel</w:t>
      </w:r>
      <w:r w:rsidR="007A0570" w:rsidRPr="00652957">
        <w:t>:</w:t>
      </w:r>
    </w:p>
    <w:p w14:paraId="2EDF77D6" w14:textId="77777777" w:rsidR="007A0570" w:rsidRPr="00652957" w:rsidRDefault="007A0570" w:rsidP="007A0570">
      <w:pPr>
        <w:pStyle w:val="Default"/>
        <w:numPr>
          <w:ilvl w:val="0"/>
          <w:numId w:val="11"/>
        </w:numPr>
        <w:tabs>
          <w:tab w:val="clear" w:pos="1080"/>
          <w:tab w:val="num" w:pos="1418"/>
        </w:tabs>
        <w:spacing w:before="120"/>
        <w:ind w:left="1418" w:hanging="567"/>
      </w:pPr>
      <w:r w:rsidRPr="00652957">
        <w:t xml:space="preserve">The </w:t>
      </w:r>
      <w:r>
        <w:t>Extenuating Circumstances Panel</w:t>
      </w:r>
      <w:r w:rsidRPr="00652957">
        <w:t xml:space="preserve"> considers that extenuating circumstances materially </w:t>
      </w:r>
      <w:r>
        <w:t xml:space="preserve">have or will </w:t>
      </w:r>
      <w:r w:rsidRPr="00652957">
        <w:t xml:space="preserve">affect the student’s performance and the </w:t>
      </w:r>
      <w:r>
        <w:t>Panel</w:t>
      </w:r>
      <w:r w:rsidRPr="00652957">
        <w:t xml:space="preserve"> </w:t>
      </w:r>
      <w:r>
        <w:t>records</w:t>
      </w:r>
      <w:r w:rsidRPr="00652957">
        <w:t xml:space="preserve"> such submissions as </w:t>
      </w:r>
      <w:r w:rsidRPr="00652957">
        <w:rPr>
          <w:b/>
        </w:rPr>
        <w:t>Valid</w:t>
      </w:r>
      <w:r>
        <w:rPr>
          <w:b/>
        </w:rPr>
        <w:t xml:space="preserve"> and approves the deferral of assessment</w:t>
      </w:r>
      <w:r w:rsidRPr="00652957">
        <w:t xml:space="preserve">. </w:t>
      </w:r>
    </w:p>
    <w:p w14:paraId="4E050D1B" w14:textId="545C7289" w:rsidR="007A0570" w:rsidRPr="00652957" w:rsidRDefault="007A0570" w:rsidP="007A0570">
      <w:pPr>
        <w:pStyle w:val="Default"/>
        <w:numPr>
          <w:ilvl w:val="0"/>
          <w:numId w:val="11"/>
        </w:numPr>
        <w:tabs>
          <w:tab w:val="clear" w:pos="1080"/>
          <w:tab w:val="num" w:pos="1418"/>
        </w:tabs>
        <w:spacing w:before="120"/>
        <w:ind w:left="1418" w:hanging="567"/>
      </w:pPr>
      <w:r w:rsidRPr="00652957">
        <w:t xml:space="preserve">The </w:t>
      </w:r>
      <w:r>
        <w:t>Extenuating Circumstances Panel</w:t>
      </w:r>
      <w:r w:rsidRPr="00652957">
        <w:t xml:space="preserve"> considers that extenuating circumstances did not materially affect the student’s performance, or they fall out</w:t>
      </w:r>
      <w:r w:rsidR="00E31BA1">
        <w:t>-</w:t>
      </w:r>
      <w:r w:rsidRPr="00652957">
        <w:t>with the definition of extenuating circumstance</w:t>
      </w:r>
      <w:r>
        <w:t>s</w:t>
      </w:r>
      <w:r w:rsidR="00E31BA1">
        <w:t>. T</w:t>
      </w:r>
      <w:r w:rsidRPr="00652957">
        <w:t xml:space="preserve">he </w:t>
      </w:r>
      <w:r>
        <w:t>Panel</w:t>
      </w:r>
      <w:r w:rsidRPr="00652957">
        <w:t xml:space="preserve"> reco</w:t>
      </w:r>
      <w:r>
        <w:t>rds</w:t>
      </w:r>
      <w:r w:rsidRPr="00652957">
        <w:t xml:space="preserve"> such submissions as </w:t>
      </w:r>
      <w:r w:rsidRPr="00652957">
        <w:rPr>
          <w:b/>
        </w:rPr>
        <w:t>Not Valid</w:t>
      </w:r>
      <w:r>
        <w:rPr>
          <w:b/>
        </w:rPr>
        <w:t xml:space="preserve"> and rejects the deferral of assessment</w:t>
      </w:r>
      <w:r w:rsidRPr="00652957">
        <w:rPr>
          <w:b/>
        </w:rPr>
        <w:t>.</w:t>
      </w:r>
      <w:r w:rsidRPr="00652957">
        <w:t xml:space="preserve"> </w:t>
      </w:r>
    </w:p>
    <w:p w14:paraId="32D49FC6" w14:textId="77777777" w:rsidR="007A0570" w:rsidRPr="00652957" w:rsidRDefault="007A0570" w:rsidP="007A0570">
      <w:pPr>
        <w:pStyle w:val="Default"/>
        <w:numPr>
          <w:ilvl w:val="0"/>
          <w:numId w:val="11"/>
        </w:numPr>
        <w:tabs>
          <w:tab w:val="clear" w:pos="1080"/>
          <w:tab w:val="num" w:pos="1418"/>
        </w:tabs>
        <w:spacing w:before="120"/>
        <w:ind w:left="1418" w:hanging="567"/>
        <w:rPr>
          <w:color w:val="auto"/>
        </w:rPr>
      </w:pPr>
      <w:r w:rsidRPr="00652957">
        <w:rPr>
          <w:color w:val="auto"/>
        </w:rPr>
        <w:lastRenderedPageBreak/>
        <w:t xml:space="preserve">There was insufficient information provided on which the </w:t>
      </w:r>
      <w:r>
        <w:rPr>
          <w:color w:val="auto"/>
        </w:rPr>
        <w:t>Extenuating Circumstances Panel</w:t>
      </w:r>
      <w:r w:rsidRPr="00652957">
        <w:rPr>
          <w:color w:val="auto"/>
        </w:rPr>
        <w:t xml:space="preserve"> could make a decision and therefore the </w:t>
      </w:r>
      <w:r w:rsidRPr="00FA2837">
        <w:rPr>
          <w:b/>
          <w:color w:val="auto"/>
        </w:rPr>
        <w:t xml:space="preserve">decision has been </w:t>
      </w:r>
      <w:r w:rsidRPr="00527FA7">
        <w:rPr>
          <w:b/>
          <w:color w:val="auto"/>
        </w:rPr>
        <w:t>deferred, pending receipt of further evidence</w:t>
      </w:r>
      <w:r>
        <w:rPr>
          <w:color w:val="auto"/>
        </w:rPr>
        <w:t>.</w:t>
      </w:r>
    </w:p>
    <w:p w14:paraId="2202360A" w14:textId="77777777" w:rsidR="007A0570" w:rsidRPr="00652957" w:rsidRDefault="007A0570" w:rsidP="007A0570">
      <w:pPr>
        <w:pStyle w:val="Default"/>
        <w:ind w:left="851"/>
        <w:rPr>
          <w:color w:val="auto"/>
        </w:rPr>
      </w:pPr>
    </w:p>
    <w:p w14:paraId="12667C21" w14:textId="77777777" w:rsidR="00E31BA1" w:rsidRDefault="007A0570" w:rsidP="00E31BA1">
      <w:pPr>
        <w:pStyle w:val="Default"/>
        <w:tabs>
          <w:tab w:val="left" w:pos="851"/>
        </w:tabs>
        <w:spacing w:before="120"/>
        <w:ind w:left="851"/>
        <w:contextualSpacing/>
        <w:rPr>
          <w:bCs/>
          <w:color w:val="auto"/>
        </w:rPr>
      </w:pPr>
      <w:r>
        <w:rPr>
          <w:bCs/>
          <w:color w:val="auto"/>
        </w:rPr>
        <w:t>There is no right of appeal against the decision of the Extenuating Circumstances Panel but students whose application for deferral was rejected may subsequently apply using the Retrospective Extenuating Circumstances process de</w:t>
      </w:r>
      <w:r w:rsidR="00F7779E">
        <w:rPr>
          <w:bCs/>
          <w:color w:val="auto"/>
        </w:rPr>
        <w:t xml:space="preserve">tailed in regulation EC2.1, if </w:t>
      </w:r>
      <w:r>
        <w:rPr>
          <w:bCs/>
          <w:color w:val="auto"/>
        </w:rPr>
        <w:t>new information or</w:t>
      </w:r>
      <w:r w:rsidR="00E31BA1">
        <w:rPr>
          <w:bCs/>
          <w:color w:val="auto"/>
        </w:rPr>
        <w:t xml:space="preserve"> evidence has become available.</w:t>
      </w:r>
    </w:p>
    <w:p w14:paraId="78EF3E6D" w14:textId="77777777" w:rsidR="00E31BA1" w:rsidRDefault="00E31BA1" w:rsidP="00E31BA1">
      <w:pPr>
        <w:pStyle w:val="Default"/>
        <w:tabs>
          <w:tab w:val="left" w:pos="851"/>
        </w:tabs>
        <w:spacing w:before="120"/>
        <w:ind w:left="851"/>
        <w:contextualSpacing/>
      </w:pPr>
    </w:p>
    <w:p w14:paraId="46EB3CC2" w14:textId="79A2D220" w:rsidR="007A0570" w:rsidRPr="00E31BA1" w:rsidRDefault="007A0570" w:rsidP="00E31BA1">
      <w:pPr>
        <w:pStyle w:val="Default"/>
        <w:tabs>
          <w:tab w:val="left" w:pos="851"/>
        </w:tabs>
        <w:spacing w:before="120"/>
        <w:ind w:left="851"/>
        <w:contextualSpacing/>
        <w:rPr>
          <w:bCs/>
          <w:color w:val="auto"/>
        </w:rPr>
      </w:pPr>
      <w:r w:rsidRPr="00652957">
        <w:t xml:space="preserve">The </w:t>
      </w:r>
      <w:r>
        <w:t>e</w:t>
      </w:r>
      <w:r w:rsidRPr="00652957">
        <w:t xml:space="preserve">xtenuating </w:t>
      </w:r>
      <w:r>
        <w:t>c</w:t>
      </w:r>
      <w:r w:rsidRPr="00652957">
        <w:t>ircumstances decision taken will be r</w:t>
      </w:r>
      <w:r>
        <w:t>eco</w:t>
      </w:r>
      <w:r w:rsidRPr="00652957">
        <w:t xml:space="preserve">rded in the Programme </w:t>
      </w:r>
      <w:r w:rsidR="001718B0">
        <w:t>Assessment Board’s</w:t>
      </w:r>
      <w:r w:rsidRPr="00652957">
        <w:t xml:space="preserve"> minute and taken into account as the Programme </w:t>
      </w:r>
      <w:r w:rsidR="001718B0">
        <w:t xml:space="preserve">Assessment </w:t>
      </w:r>
      <w:r w:rsidRPr="00652957">
        <w:t>Board makes academic decisions in relation to a student’s academic progression.</w:t>
      </w:r>
    </w:p>
    <w:p w14:paraId="4986A848" w14:textId="77777777" w:rsidR="007A0570" w:rsidRPr="00652957" w:rsidRDefault="007A0570" w:rsidP="007A0570">
      <w:pPr>
        <w:pStyle w:val="Default"/>
        <w:ind w:left="851"/>
      </w:pPr>
    </w:p>
    <w:p w14:paraId="5ED87EB5" w14:textId="25F3373C" w:rsidR="006B1732" w:rsidRPr="00C31B3B" w:rsidRDefault="007A0570" w:rsidP="006B1732">
      <w:pPr>
        <w:pStyle w:val="Default"/>
        <w:ind w:left="851"/>
        <w:rPr>
          <w:color w:val="FF33CC"/>
        </w:rPr>
      </w:pPr>
      <w:r w:rsidRPr="00652957">
        <w:t xml:space="preserve">In the case where a student has passed a module </w:t>
      </w:r>
      <w:r>
        <w:t>for which Retrospective Extenuating Circumstances were approved,</w:t>
      </w:r>
      <w:r w:rsidRPr="00652957">
        <w:t xml:space="preserve"> the Programme </w:t>
      </w:r>
      <w:r w:rsidR="00E31BA1">
        <w:t>Assessment Board w</w:t>
      </w:r>
      <w:r w:rsidRPr="00652957">
        <w:t>ill consider these in the context of the student’s academic profile. In accordance with Regulation A7.1</w:t>
      </w:r>
      <w:r w:rsidR="001718B0">
        <w:t>3</w:t>
      </w:r>
      <w:r w:rsidRPr="00652957">
        <w:t xml:space="preserve">, </w:t>
      </w:r>
      <w:r w:rsidR="006B1732">
        <w:t>o</w:t>
      </w:r>
      <w:r w:rsidR="006B1732" w:rsidRPr="006B1732">
        <w:t>nce passed a candidate cannot demand to retake an assessment or repeat a module in order to improve their result, irrespective of extenuating circumstances.</w:t>
      </w:r>
      <w:r w:rsidR="00FF24DD">
        <w:t xml:space="preserve"> </w:t>
      </w:r>
    </w:p>
    <w:p w14:paraId="4DF2A8C6" w14:textId="36748962" w:rsidR="007A0570" w:rsidRDefault="007A0570" w:rsidP="007A0570">
      <w:pPr>
        <w:pStyle w:val="Default"/>
        <w:ind w:left="851"/>
      </w:pPr>
    </w:p>
    <w:p w14:paraId="7AC611C9" w14:textId="2FC733FE" w:rsidR="007A0570" w:rsidRDefault="007A0570" w:rsidP="006B1732">
      <w:pPr>
        <w:pStyle w:val="Default"/>
        <w:ind w:left="851"/>
      </w:pPr>
      <w:r w:rsidRPr="00652957">
        <w:t xml:space="preserve">Extenuating circumstances </w:t>
      </w:r>
      <w:r>
        <w:t>that</w:t>
      </w:r>
      <w:r w:rsidRPr="00652957">
        <w:t xml:space="preserve"> were presented to the </w:t>
      </w:r>
      <w:r>
        <w:t>Extenuating Circumstances Panel</w:t>
      </w:r>
      <w:r w:rsidRPr="00652957">
        <w:t xml:space="preserve"> and deemed not valid will not be raised at the Programme </w:t>
      </w:r>
      <w:r w:rsidR="00251289">
        <w:t>Assessment Board,</w:t>
      </w:r>
      <w:r>
        <w:t xml:space="preserve"> and any assessment not submitted or examination or test not attended</w:t>
      </w:r>
      <w:r w:rsidR="00251289">
        <w:t>,</w:t>
      </w:r>
      <w:r>
        <w:t xml:space="preserve"> will be treated as failed for the purposes of progression or award decisions.</w:t>
      </w:r>
    </w:p>
    <w:p w14:paraId="1BA55704" w14:textId="77777777" w:rsidR="007A0570" w:rsidRDefault="007A0570" w:rsidP="007A0570">
      <w:pPr>
        <w:pStyle w:val="Default"/>
      </w:pPr>
    </w:p>
    <w:p w14:paraId="3107E5D5" w14:textId="2A718D32" w:rsidR="007A0570" w:rsidRDefault="007A0570" w:rsidP="007A0570">
      <w:pPr>
        <w:pStyle w:val="Default"/>
        <w:ind w:left="851"/>
        <w:rPr>
          <w:color w:val="auto"/>
        </w:rPr>
      </w:pPr>
      <w:r w:rsidRPr="00652957">
        <w:rPr>
          <w:color w:val="auto"/>
        </w:rPr>
        <w:t xml:space="preserve">Following the meeting of the Programme </w:t>
      </w:r>
      <w:r w:rsidR="00251289">
        <w:rPr>
          <w:color w:val="auto"/>
        </w:rPr>
        <w:t>Assessment Board,</w:t>
      </w:r>
      <w:r w:rsidRPr="00652957">
        <w:rPr>
          <w:color w:val="auto"/>
        </w:rPr>
        <w:t xml:space="preserve"> the student’s module r</w:t>
      </w:r>
      <w:r>
        <w:rPr>
          <w:color w:val="auto"/>
        </w:rPr>
        <w:t>ecor</w:t>
      </w:r>
      <w:r w:rsidRPr="00652957">
        <w:rPr>
          <w:color w:val="auto"/>
        </w:rPr>
        <w:t xml:space="preserve">d </w:t>
      </w:r>
      <w:r w:rsidRPr="00527FA7">
        <w:t>will</w:t>
      </w:r>
      <w:r w:rsidRPr="00652957">
        <w:rPr>
          <w:color w:val="auto"/>
        </w:rPr>
        <w:t xml:space="preserve"> be updated to indicate if extenuating circumstances were valid</w:t>
      </w:r>
      <w:r>
        <w:rPr>
          <w:color w:val="auto"/>
        </w:rPr>
        <w:t xml:space="preserve"> and deferral was granted</w:t>
      </w:r>
      <w:r w:rsidRPr="00652957">
        <w:rPr>
          <w:color w:val="auto"/>
        </w:rPr>
        <w:t xml:space="preserve">. Information on whether extenuating circumstances have been considered in previous sessions will be flagged on the documentation available to subsequent Programme </w:t>
      </w:r>
      <w:r w:rsidR="00251289">
        <w:rPr>
          <w:color w:val="auto"/>
        </w:rPr>
        <w:t>Assessment Boards</w:t>
      </w:r>
      <w:r w:rsidRPr="00652957">
        <w:rPr>
          <w:color w:val="auto"/>
        </w:rPr>
        <w:t>.</w:t>
      </w:r>
    </w:p>
    <w:p w14:paraId="1708EAC2" w14:textId="77777777" w:rsidR="007A0570" w:rsidRDefault="007A0570" w:rsidP="007A0570">
      <w:pPr>
        <w:pStyle w:val="Default"/>
      </w:pPr>
    </w:p>
    <w:p w14:paraId="4C22C7CD" w14:textId="6142743B" w:rsidR="007A0570" w:rsidRPr="00C31B3B" w:rsidRDefault="007A0570" w:rsidP="007A0570">
      <w:pPr>
        <w:pStyle w:val="Default"/>
        <w:ind w:left="851"/>
        <w:rPr>
          <w:color w:val="FF33CC"/>
        </w:rPr>
      </w:pPr>
      <w:r w:rsidRPr="00652957">
        <w:t>Stude</w:t>
      </w:r>
      <w:r>
        <w:t>nt</w:t>
      </w:r>
      <w:r w:rsidRPr="00652957">
        <w:t>s</w:t>
      </w:r>
      <w:r>
        <w:t>’</w:t>
      </w:r>
      <w:r w:rsidRPr="00652957">
        <w:t xml:space="preserve"> results will outline the consideration of extenuating circumstances by the </w:t>
      </w:r>
      <w:r>
        <w:t>Extenuating Circumstances Panel</w:t>
      </w:r>
      <w:r w:rsidRPr="00652957">
        <w:t xml:space="preserve"> and consideration of progression and academic study decisions by the Programme Board of Examiners on their final results.</w:t>
      </w:r>
      <w:r w:rsidR="00D918A9">
        <w:t xml:space="preserve"> </w:t>
      </w:r>
    </w:p>
    <w:p w14:paraId="2C2552E4" w14:textId="77777777" w:rsidR="007A0570" w:rsidRPr="00652957" w:rsidRDefault="007A0570" w:rsidP="007A0570">
      <w:pPr>
        <w:autoSpaceDE w:val="0"/>
        <w:autoSpaceDN w:val="0"/>
        <w:adjustRightInd w:val="0"/>
        <w:rPr>
          <w:rFonts w:ascii="Arial" w:hAnsi="Arial" w:cs="Arial"/>
        </w:rPr>
      </w:pPr>
    </w:p>
    <w:p w14:paraId="6141DBAB" w14:textId="77777777" w:rsidR="007A0570" w:rsidRPr="00652957" w:rsidRDefault="007A0570" w:rsidP="007A0570">
      <w:pPr>
        <w:tabs>
          <w:tab w:val="left" w:pos="851"/>
        </w:tabs>
        <w:autoSpaceDE w:val="0"/>
        <w:autoSpaceDN w:val="0"/>
        <w:adjustRightInd w:val="0"/>
        <w:rPr>
          <w:rFonts w:ascii="Arial" w:hAnsi="Arial" w:cs="Arial"/>
          <w:b/>
          <w:lang w:eastAsia="en-GB"/>
        </w:rPr>
      </w:pPr>
      <w:r>
        <w:rPr>
          <w:rFonts w:ascii="Arial" w:hAnsi="Arial" w:cs="Arial"/>
          <w:b/>
          <w:lang w:eastAsia="en-GB"/>
        </w:rPr>
        <w:t>EC</w:t>
      </w:r>
      <w:r w:rsidRPr="00652957">
        <w:rPr>
          <w:rFonts w:ascii="Arial" w:hAnsi="Arial" w:cs="Arial"/>
          <w:b/>
          <w:lang w:eastAsia="en-GB"/>
        </w:rPr>
        <w:t>6</w:t>
      </w:r>
      <w:r w:rsidRPr="00652957">
        <w:rPr>
          <w:rFonts w:ascii="Arial" w:hAnsi="Arial" w:cs="Arial"/>
          <w:b/>
          <w:lang w:eastAsia="en-GB"/>
        </w:rPr>
        <w:tab/>
        <w:t>Confidentiality</w:t>
      </w:r>
    </w:p>
    <w:p w14:paraId="36952309" w14:textId="4D71D6B2" w:rsidR="007A0570" w:rsidRPr="00652957" w:rsidRDefault="00C91432" w:rsidP="007A0570">
      <w:pPr>
        <w:spacing w:before="120"/>
        <w:ind w:left="851"/>
        <w:rPr>
          <w:rFonts w:ascii="Arial" w:hAnsi="Arial" w:cs="Arial"/>
        </w:rPr>
      </w:pPr>
      <w:r>
        <w:rPr>
          <w:rFonts w:ascii="Arial" w:hAnsi="Arial" w:cs="Arial"/>
        </w:rPr>
        <w:t>In</w:t>
      </w:r>
      <w:r w:rsidR="007A0570" w:rsidRPr="00652957">
        <w:rPr>
          <w:rFonts w:ascii="Arial" w:hAnsi="Arial" w:cs="Arial"/>
        </w:rPr>
        <w:t xml:space="preserve"> </w:t>
      </w:r>
      <w:r w:rsidR="007A0570" w:rsidRPr="00652957">
        <w:rPr>
          <w:rFonts w:ascii="Arial" w:hAnsi="Arial" w:cs="Arial"/>
          <w:b/>
        </w:rPr>
        <w:t xml:space="preserve">exceptional </w:t>
      </w:r>
      <w:r w:rsidR="007A0570" w:rsidRPr="00652957">
        <w:rPr>
          <w:rFonts w:ascii="Arial" w:hAnsi="Arial" w:cs="Arial"/>
        </w:rPr>
        <w:t xml:space="preserve">circumstances a student may choose to report their circumstances and third party evidence either directly to the </w:t>
      </w:r>
      <w:r w:rsidR="007A0570">
        <w:rPr>
          <w:rFonts w:ascii="Arial" w:hAnsi="Arial" w:cs="Arial"/>
        </w:rPr>
        <w:t>c</w:t>
      </w:r>
      <w:r w:rsidR="007A0570" w:rsidRPr="00652957">
        <w:rPr>
          <w:rFonts w:ascii="Arial" w:hAnsi="Arial" w:cs="Arial"/>
        </w:rPr>
        <w:t xml:space="preserve">onvenor of the </w:t>
      </w:r>
      <w:r w:rsidR="007A0570">
        <w:rPr>
          <w:rFonts w:ascii="Arial" w:hAnsi="Arial" w:cs="Arial"/>
        </w:rPr>
        <w:t>Extenuating Circumstances Panel</w:t>
      </w:r>
      <w:r w:rsidR="007A0570" w:rsidRPr="00652957">
        <w:rPr>
          <w:rFonts w:ascii="Arial" w:hAnsi="Arial" w:cs="Arial"/>
        </w:rPr>
        <w:t xml:space="preserve"> or to a nominated member of staff not connected with their programme of study; usually a student counsellor in Student &amp; Academic Services or an advisor in </w:t>
      </w:r>
      <w:r w:rsidR="00DD5E29">
        <w:rPr>
          <w:rFonts w:ascii="Arial" w:hAnsi="Arial" w:cs="Arial"/>
        </w:rPr>
        <w:t>ENSA Advice</w:t>
      </w:r>
      <w:r w:rsidR="007A0570" w:rsidRPr="00652957">
        <w:rPr>
          <w:rFonts w:ascii="Arial" w:hAnsi="Arial" w:cs="Arial"/>
        </w:rPr>
        <w:t>.</w:t>
      </w:r>
    </w:p>
    <w:p w14:paraId="126DEA09" w14:textId="77777777" w:rsidR="007A0570" w:rsidRDefault="007A0570" w:rsidP="007A0570">
      <w:pPr>
        <w:ind w:left="851"/>
        <w:rPr>
          <w:rFonts w:ascii="Arial" w:hAnsi="Arial" w:cs="Arial"/>
        </w:rPr>
      </w:pPr>
    </w:p>
    <w:p w14:paraId="1DB825FA" w14:textId="77777777" w:rsidR="007A0570" w:rsidRPr="00652957" w:rsidRDefault="007A0570" w:rsidP="007A0570">
      <w:pPr>
        <w:ind w:left="851"/>
        <w:rPr>
          <w:rFonts w:ascii="Arial" w:hAnsi="Arial" w:cs="Arial"/>
        </w:rPr>
      </w:pPr>
      <w:r w:rsidRPr="00652957">
        <w:rPr>
          <w:rFonts w:ascii="Arial" w:hAnsi="Arial" w:cs="Arial"/>
        </w:rPr>
        <w:t xml:space="preserve">On receipt of such a request, the staff member or counsellor should advise the student of the benefits of disclosing information related to their circumstances, to allow their particular circumstances to be disclosed to the full panel and encourage the student to complete the details requested on </w:t>
      </w:r>
      <w:r>
        <w:rPr>
          <w:rFonts w:ascii="Arial" w:hAnsi="Arial" w:cs="Arial"/>
        </w:rPr>
        <w:t xml:space="preserve">forms DA1 or </w:t>
      </w:r>
      <w:r w:rsidRPr="00652957">
        <w:rPr>
          <w:rFonts w:ascii="Arial" w:hAnsi="Arial" w:cs="Arial"/>
        </w:rPr>
        <w:t>EC</w:t>
      </w:r>
      <w:r>
        <w:rPr>
          <w:rFonts w:ascii="Arial" w:hAnsi="Arial" w:cs="Arial"/>
        </w:rPr>
        <w:t>1</w:t>
      </w:r>
      <w:r w:rsidRPr="00652957">
        <w:rPr>
          <w:rFonts w:ascii="Arial" w:hAnsi="Arial" w:cs="Arial"/>
        </w:rPr>
        <w:t xml:space="preserve">. Students should be made aware that whilst strict confidentiality will be adhered to, the more detail disclosed to the </w:t>
      </w:r>
      <w:r>
        <w:rPr>
          <w:rFonts w:ascii="Arial" w:hAnsi="Arial" w:cs="Arial"/>
        </w:rPr>
        <w:t>Extenuating Circumstances Panel</w:t>
      </w:r>
      <w:r w:rsidRPr="00652957">
        <w:rPr>
          <w:rFonts w:ascii="Arial" w:hAnsi="Arial" w:cs="Arial"/>
        </w:rPr>
        <w:t xml:space="preserve">, the greater the </w:t>
      </w:r>
      <w:r>
        <w:rPr>
          <w:rFonts w:ascii="Arial" w:hAnsi="Arial" w:cs="Arial"/>
        </w:rPr>
        <w:t>Panel</w:t>
      </w:r>
      <w:r w:rsidRPr="00652957">
        <w:rPr>
          <w:rFonts w:ascii="Arial" w:hAnsi="Arial" w:cs="Arial"/>
        </w:rPr>
        <w:t>’s ability to take full account of the reasons for their application.</w:t>
      </w:r>
    </w:p>
    <w:p w14:paraId="3C959EF8" w14:textId="77777777" w:rsidR="007A0570" w:rsidRPr="00652957" w:rsidRDefault="007A0570" w:rsidP="007A0570">
      <w:pPr>
        <w:rPr>
          <w:rFonts w:ascii="Arial" w:hAnsi="Arial" w:cs="Arial"/>
        </w:rPr>
      </w:pPr>
    </w:p>
    <w:p w14:paraId="53005DF2" w14:textId="23464DA5" w:rsidR="007A0570" w:rsidRPr="00C31B3B" w:rsidRDefault="007A0570" w:rsidP="007A0570">
      <w:pPr>
        <w:ind w:left="851"/>
        <w:rPr>
          <w:rFonts w:ascii="Arial" w:hAnsi="Arial" w:cs="Arial"/>
          <w:color w:val="FF33CC"/>
        </w:rPr>
      </w:pPr>
      <w:r w:rsidRPr="00652957">
        <w:rPr>
          <w:rFonts w:ascii="Arial" w:hAnsi="Arial" w:cs="Arial"/>
        </w:rPr>
        <w:lastRenderedPageBreak/>
        <w:t xml:space="preserve">Should a student still not wish to complete </w:t>
      </w:r>
      <w:r>
        <w:rPr>
          <w:rFonts w:ascii="Arial" w:hAnsi="Arial" w:cs="Arial"/>
        </w:rPr>
        <w:t>forms DA1 or EC1</w:t>
      </w:r>
      <w:r w:rsidRPr="00652957">
        <w:rPr>
          <w:rFonts w:ascii="Arial" w:hAnsi="Arial" w:cs="Arial"/>
        </w:rPr>
        <w:t xml:space="preserve"> which outline their circumstances, then the counsellor</w:t>
      </w:r>
      <w:r>
        <w:rPr>
          <w:rFonts w:ascii="Arial" w:hAnsi="Arial" w:cs="Arial"/>
        </w:rPr>
        <w:t xml:space="preserve"> or </w:t>
      </w:r>
      <w:r w:rsidRPr="00652957">
        <w:rPr>
          <w:rFonts w:ascii="Arial" w:hAnsi="Arial" w:cs="Arial"/>
        </w:rPr>
        <w:t xml:space="preserve">staff member should make the necessary arrangements for the student to report their circumstances in person and confidentially to the Convenor of the </w:t>
      </w:r>
      <w:r>
        <w:rPr>
          <w:rFonts w:ascii="Arial" w:hAnsi="Arial" w:cs="Arial"/>
        </w:rPr>
        <w:t>Extenuating Circumstances Panel</w:t>
      </w:r>
      <w:r w:rsidRPr="00652957">
        <w:rPr>
          <w:rFonts w:ascii="Arial" w:hAnsi="Arial" w:cs="Arial"/>
        </w:rPr>
        <w:t xml:space="preserve"> or their depute. </w:t>
      </w:r>
    </w:p>
    <w:p w14:paraId="5020DC30" w14:textId="77777777" w:rsidR="007A0570" w:rsidRPr="00652957" w:rsidRDefault="007A0570" w:rsidP="007A0570">
      <w:pPr>
        <w:rPr>
          <w:rFonts w:ascii="Arial" w:hAnsi="Arial" w:cs="Arial"/>
        </w:rPr>
      </w:pPr>
    </w:p>
    <w:p w14:paraId="17ABFE06" w14:textId="77777777" w:rsidR="007A0570" w:rsidRDefault="007A0570" w:rsidP="007A0570">
      <w:pPr>
        <w:ind w:left="851"/>
        <w:rPr>
          <w:rFonts w:ascii="Arial" w:hAnsi="Arial" w:cs="Arial"/>
        </w:rPr>
      </w:pPr>
      <w:r w:rsidRPr="00652957">
        <w:rPr>
          <w:rFonts w:ascii="Arial" w:hAnsi="Arial" w:cs="Arial"/>
        </w:rPr>
        <w:t xml:space="preserve">The Convenor of the </w:t>
      </w:r>
      <w:r>
        <w:rPr>
          <w:rFonts w:ascii="Arial" w:hAnsi="Arial" w:cs="Arial"/>
        </w:rPr>
        <w:t>Extenuating Circumstances Panel</w:t>
      </w:r>
      <w:r w:rsidRPr="00652957">
        <w:rPr>
          <w:rFonts w:ascii="Arial" w:hAnsi="Arial" w:cs="Arial"/>
        </w:rPr>
        <w:t xml:space="preserve"> must be satisfied that, in their judgement, the circumstances reported have been properly evidenced to justify their r</w:t>
      </w:r>
      <w:r>
        <w:rPr>
          <w:rFonts w:ascii="Arial" w:hAnsi="Arial" w:cs="Arial"/>
        </w:rPr>
        <w:t>eco</w:t>
      </w:r>
      <w:r w:rsidRPr="00652957">
        <w:rPr>
          <w:rFonts w:ascii="Arial" w:hAnsi="Arial" w:cs="Arial"/>
        </w:rPr>
        <w:t xml:space="preserve">mmendation to the </w:t>
      </w:r>
      <w:r>
        <w:rPr>
          <w:rFonts w:ascii="Arial" w:hAnsi="Arial" w:cs="Arial"/>
        </w:rPr>
        <w:t>Extenuating Circumstances Panel</w:t>
      </w:r>
      <w:r w:rsidRPr="00652957">
        <w:rPr>
          <w:rFonts w:ascii="Arial" w:hAnsi="Arial" w:cs="Arial"/>
        </w:rPr>
        <w:t>. The Convenor is responsible for making their r</w:t>
      </w:r>
      <w:r>
        <w:rPr>
          <w:rFonts w:ascii="Arial" w:hAnsi="Arial" w:cs="Arial"/>
        </w:rPr>
        <w:t>eco</w:t>
      </w:r>
      <w:r w:rsidRPr="00652957">
        <w:rPr>
          <w:rFonts w:ascii="Arial" w:hAnsi="Arial" w:cs="Arial"/>
        </w:rPr>
        <w:t xml:space="preserve">mmendation to the </w:t>
      </w:r>
      <w:r>
        <w:rPr>
          <w:rFonts w:ascii="Arial" w:hAnsi="Arial" w:cs="Arial"/>
        </w:rPr>
        <w:t>Panel</w:t>
      </w:r>
      <w:r w:rsidRPr="00652957">
        <w:rPr>
          <w:rFonts w:ascii="Arial" w:hAnsi="Arial" w:cs="Arial"/>
        </w:rPr>
        <w:t xml:space="preserve"> for approval and homologation</w:t>
      </w:r>
      <w:r>
        <w:rPr>
          <w:rFonts w:ascii="Arial" w:hAnsi="Arial" w:cs="Arial"/>
        </w:rPr>
        <w:t>.</w:t>
      </w:r>
    </w:p>
    <w:p w14:paraId="3C3CE4D3" w14:textId="77777777" w:rsidR="007A0570" w:rsidRDefault="007A0570" w:rsidP="007A0570">
      <w:pPr>
        <w:rPr>
          <w:rFonts w:ascii="Arial" w:hAnsi="Arial" w:cs="Arial"/>
        </w:rPr>
      </w:pPr>
    </w:p>
    <w:p w14:paraId="69270A9D" w14:textId="77777777" w:rsidR="00C31B3B" w:rsidRDefault="007A0570" w:rsidP="00C31B3B">
      <w:pPr>
        <w:rPr>
          <w:rFonts w:ascii="Arial" w:hAnsi="Arial" w:cs="Arial"/>
        </w:rPr>
      </w:pPr>
      <w:r w:rsidRPr="00B5497C">
        <w:rPr>
          <w:rFonts w:ascii="Arial" w:hAnsi="Arial" w:cs="Arial"/>
          <w:b/>
        </w:rPr>
        <w:t>EC7</w:t>
      </w:r>
      <w:r w:rsidRPr="00B5497C">
        <w:rPr>
          <w:rFonts w:ascii="Arial" w:hAnsi="Arial" w:cs="Arial"/>
          <w:b/>
        </w:rPr>
        <w:tab/>
        <w:t xml:space="preserve"> </w:t>
      </w:r>
      <w:r w:rsidR="00C91432">
        <w:rPr>
          <w:rFonts w:ascii="Arial" w:hAnsi="Arial" w:cs="Arial"/>
          <w:b/>
        </w:rPr>
        <w:t xml:space="preserve"> </w:t>
      </w:r>
      <w:r w:rsidRPr="006E2A41">
        <w:rPr>
          <w:rFonts w:ascii="Arial" w:hAnsi="Arial" w:cs="Arial"/>
          <w:b/>
        </w:rPr>
        <w:t xml:space="preserve">Requests to </w:t>
      </w:r>
      <w:r w:rsidR="00FF24DD" w:rsidRPr="006E2A41">
        <w:rPr>
          <w:rFonts w:ascii="Arial" w:hAnsi="Arial" w:cs="Arial"/>
          <w:b/>
        </w:rPr>
        <w:t>extend</w:t>
      </w:r>
      <w:r w:rsidRPr="006E2A41">
        <w:rPr>
          <w:rFonts w:ascii="Arial" w:hAnsi="Arial" w:cs="Arial"/>
          <w:b/>
        </w:rPr>
        <w:t xml:space="preserve"> a period of Suspended Studies</w:t>
      </w:r>
    </w:p>
    <w:p w14:paraId="573F844E" w14:textId="77777777" w:rsidR="00C31B3B" w:rsidRDefault="00C31B3B" w:rsidP="00C31B3B">
      <w:pPr>
        <w:rPr>
          <w:rFonts w:ascii="Arial" w:hAnsi="Arial" w:cs="Arial"/>
        </w:rPr>
      </w:pPr>
    </w:p>
    <w:p w14:paraId="49B8D0E3" w14:textId="0B5BAE6F" w:rsidR="00C91432" w:rsidRPr="00C31B3B" w:rsidRDefault="007A0570" w:rsidP="00C31B3B">
      <w:pPr>
        <w:ind w:left="851"/>
        <w:rPr>
          <w:rFonts w:ascii="Arial" w:hAnsi="Arial" w:cs="Arial"/>
        </w:rPr>
      </w:pPr>
      <w:r w:rsidRPr="00CA3DEB">
        <w:rPr>
          <w:rFonts w:ascii="Arial" w:hAnsi="Arial" w:cs="Arial"/>
        </w:rPr>
        <w:t xml:space="preserve">The Extenuating Circumstances panel will also be responsible for considering applications for exceptional extension to a period of suspension in accordance with Regulation </w:t>
      </w:r>
      <w:r>
        <w:rPr>
          <w:rFonts w:ascii="Arial" w:hAnsi="Arial" w:cs="Arial"/>
        </w:rPr>
        <w:t>A</w:t>
      </w:r>
      <w:r w:rsidRPr="00CA3DEB">
        <w:rPr>
          <w:rFonts w:ascii="Arial" w:hAnsi="Arial" w:cs="Arial"/>
        </w:rPr>
        <w:t>8.4 (</w:t>
      </w:r>
      <w:r w:rsidR="00131CD0">
        <w:rPr>
          <w:rFonts w:ascii="Arial" w:hAnsi="Arial" w:cs="Arial"/>
        </w:rPr>
        <w:t>xiii</w:t>
      </w:r>
      <w:r w:rsidRPr="00CA3DEB">
        <w:rPr>
          <w:rFonts w:ascii="Arial" w:hAnsi="Arial" w:cs="Arial"/>
        </w:rPr>
        <w:t>)</w:t>
      </w:r>
      <w:r>
        <w:rPr>
          <w:rFonts w:ascii="Arial" w:hAnsi="Arial" w:cs="Arial"/>
        </w:rPr>
        <w:t>.</w:t>
      </w:r>
    </w:p>
    <w:p w14:paraId="042E05E2" w14:textId="77777777" w:rsidR="00C31B3B" w:rsidRDefault="00C31B3B" w:rsidP="00C91432">
      <w:pPr>
        <w:rPr>
          <w:rFonts w:ascii="Arial" w:hAnsi="Arial" w:cs="Arial"/>
          <w:b/>
        </w:rPr>
      </w:pPr>
    </w:p>
    <w:p w14:paraId="0E62739A" w14:textId="638BC5BE" w:rsidR="00C91432" w:rsidRDefault="00C91432" w:rsidP="00C91432">
      <w:pPr>
        <w:rPr>
          <w:rFonts w:ascii="Arial" w:hAnsi="Arial" w:cs="Arial"/>
          <w:b/>
        </w:rPr>
      </w:pPr>
      <w:r>
        <w:rPr>
          <w:rFonts w:ascii="Arial" w:hAnsi="Arial" w:cs="Arial"/>
          <w:b/>
        </w:rPr>
        <w:t>EC8</w:t>
      </w:r>
      <w:r>
        <w:rPr>
          <w:rFonts w:ascii="Arial" w:hAnsi="Arial" w:cs="Arial"/>
          <w:b/>
        </w:rPr>
        <w:tab/>
        <w:t xml:space="preserve"> </w:t>
      </w:r>
      <w:r w:rsidRPr="00C31B3B">
        <w:rPr>
          <w:rFonts w:ascii="Arial" w:hAnsi="Arial" w:cs="Arial"/>
          <w:b/>
        </w:rPr>
        <w:t>Sources of further information</w:t>
      </w:r>
    </w:p>
    <w:p w14:paraId="7277EC09" w14:textId="7DA71BC3" w:rsidR="00C91432" w:rsidRDefault="00C91432" w:rsidP="00C91432">
      <w:pPr>
        <w:rPr>
          <w:rFonts w:ascii="Arial" w:hAnsi="Arial" w:cs="Arial"/>
          <w:b/>
        </w:rPr>
      </w:pPr>
    </w:p>
    <w:p w14:paraId="5AFE4E3D" w14:textId="72808E53" w:rsidR="00C91432" w:rsidRPr="00C91432" w:rsidRDefault="00C91432" w:rsidP="00C91432">
      <w:pPr>
        <w:rPr>
          <w:rStyle w:val="Hyperlink"/>
          <w:rFonts w:ascii="Arial" w:hAnsi="Arial" w:cs="Arial"/>
        </w:rPr>
      </w:pPr>
      <w:r>
        <w:rPr>
          <w:rFonts w:ascii="Arial" w:hAnsi="Arial" w:cs="Arial"/>
          <w:u w:val="single"/>
        </w:rPr>
        <w:fldChar w:fldCharType="begin"/>
      </w:r>
      <w:r>
        <w:rPr>
          <w:rFonts w:ascii="Arial" w:hAnsi="Arial" w:cs="Arial"/>
          <w:u w:val="single"/>
        </w:rPr>
        <w:instrText xml:space="preserve"> HYPERLINK "https://my.napier.ac.uk/student-administration/extenuating%20circumstances/Pages/Extenuating-Circumstances.aspx" </w:instrText>
      </w:r>
      <w:r>
        <w:rPr>
          <w:rFonts w:ascii="Arial" w:hAnsi="Arial" w:cs="Arial"/>
          <w:u w:val="single"/>
        </w:rPr>
        <w:fldChar w:fldCharType="separate"/>
      </w:r>
      <w:r w:rsidRPr="00C91432">
        <w:rPr>
          <w:rStyle w:val="Hyperlink"/>
          <w:rFonts w:ascii="Arial" w:hAnsi="Arial" w:cs="Arial"/>
        </w:rPr>
        <w:t>MyNapier: myNapier/studentAdministration</w:t>
      </w:r>
      <w:r w:rsidRPr="00C91432">
        <w:rPr>
          <w:rStyle w:val="Hyperlink"/>
          <w:rFonts w:ascii="Arial" w:hAnsi="Arial" w:cs="Arial"/>
        </w:rPr>
        <w:t>/</w:t>
      </w:r>
      <w:r w:rsidRPr="00C91432">
        <w:rPr>
          <w:rStyle w:val="Hyperlink"/>
          <w:rFonts w:ascii="Arial" w:hAnsi="Arial" w:cs="Arial"/>
        </w:rPr>
        <w:t>Fit to Sit – Extenuating Circumstances</w:t>
      </w:r>
      <w:r w:rsidR="00C31B3B" w:rsidRPr="002A3D3F">
        <w:rPr>
          <w:rStyle w:val="Hyperlink"/>
          <w:rFonts w:ascii="Arial" w:hAnsi="Arial" w:cs="Arial"/>
          <w:noProof/>
          <w:lang w:eastAsia="en-GB"/>
        </w:rPr>
        <w:pict w14:anchorId="60894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Skip Navigation Links" href="https://my.napier.ac.uk/student-administration/extenuating circumstances/Pages/Extenuating-Circumstances.aspx#ctl00_PlaceHolderMain_SiteMapPath1_SkipLink" style="width:.75pt;height:.75pt;visibility:visible;mso-wrap-style:square" o:button="t">
            <v:imagedata r:id="rId16" o:title="Skip Navigation Links"/>
          </v:shape>
        </w:pict>
      </w:r>
    </w:p>
    <w:p w14:paraId="5B098106" w14:textId="61CEF1F4" w:rsidR="00C91432" w:rsidRDefault="00C91432" w:rsidP="00C91432">
      <w:pPr>
        <w:rPr>
          <w:rFonts w:ascii="Arial" w:hAnsi="Arial" w:cs="Arial"/>
          <w:u w:val="single"/>
        </w:rPr>
      </w:pPr>
      <w:r>
        <w:rPr>
          <w:rFonts w:ascii="Arial" w:hAnsi="Arial" w:cs="Arial"/>
          <w:u w:val="single"/>
        </w:rPr>
        <w:fldChar w:fldCharType="end"/>
      </w:r>
    </w:p>
    <w:p w14:paraId="25E2BD76" w14:textId="5924276E" w:rsidR="00C91432" w:rsidRPr="00C31B3B" w:rsidRDefault="00C91432" w:rsidP="00C91432">
      <w:pPr>
        <w:rPr>
          <w:rFonts w:ascii="Arial" w:hAnsi="Arial" w:cs="Arial"/>
        </w:rPr>
      </w:pPr>
      <w:r w:rsidRPr="00C31B3B">
        <w:rPr>
          <w:rFonts w:ascii="Arial" w:hAnsi="Arial" w:cs="Arial"/>
          <w:u w:val="single"/>
        </w:rPr>
        <w:t>Craiglockhart</w:t>
      </w:r>
      <w:r w:rsidRPr="00C31B3B">
        <w:rPr>
          <w:rFonts w:ascii="Arial" w:hAnsi="Arial" w:cs="Arial"/>
        </w:rPr>
        <w:t>​</w:t>
      </w:r>
    </w:p>
    <w:p w14:paraId="068B2F03" w14:textId="1087778E" w:rsidR="00C91432" w:rsidRPr="00C31B3B" w:rsidRDefault="00C91432" w:rsidP="00C91432">
      <w:pPr>
        <w:rPr>
          <w:rFonts w:ascii="Arial" w:hAnsi="Arial" w:cs="Arial"/>
        </w:rPr>
      </w:pPr>
      <w:r w:rsidRPr="00C31B3B">
        <w:rPr>
          <w:rFonts w:ascii="Arial" w:hAnsi="Arial" w:cs="Arial"/>
        </w:rPr>
        <w:t>The Business School</w:t>
      </w:r>
      <w:r>
        <w:rPr>
          <w:rFonts w:ascii="Arial" w:hAnsi="Arial" w:cs="Arial"/>
        </w:rPr>
        <w:t xml:space="preserve">: </w:t>
      </w:r>
      <w:r w:rsidRPr="00C31B3B">
        <w:rPr>
          <w:rFonts w:ascii="Arial" w:hAnsi="Arial" w:cs="Arial"/>
        </w:rPr>
        <w:t>Email: </w:t>
      </w:r>
      <w:hyperlink r:id="rId17" w:history="1">
        <w:r w:rsidRPr="00C31B3B">
          <w:rPr>
            <w:rStyle w:val="Hyperlink"/>
            <w:rFonts w:ascii="Arial" w:hAnsi="Arial" w:cs="Arial"/>
          </w:rPr>
          <w:t>FitToSitECsTBS@napier.ac.uk​</w:t>
        </w:r>
      </w:hyperlink>
    </w:p>
    <w:p w14:paraId="4C4FC015" w14:textId="77777777" w:rsidR="00C91432" w:rsidRDefault="00C91432" w:rsidP="00C91432">
      <w:pPr>
        <w:rPr>
          <w:rFonts w:ascii="Arial" w:hAnsi="Arial" w:cs="Arial"/>
          <w:u w:val="single"/>
        </w:rPr>
      </w:pPr>
    </w:p>
    <w:p w14:paraId="24974315" w14:textId="0C199402" w:rsidR="00C91432" w:rsidRPr="00C31B3B" w:rsidRDefault="00C91432" w:rsidP="00C91432">
      <w:pPr>
        <w:rPr>
          <w:rFonts w:ascii="Arial" w:hAnsi="Arial" w:cs="Arial"/>
          <w:u w:val="single"/>
        </w:rPr>
      </w:pPr>
      <w:r w:rsidRPr="00C31B3B">
        <w:rPr>
          <w:rFonts w:ascii="Arial" w:hAnsi="Arial" w:cs="Arial"/>
          <w:u w:val="single"/>
        </w:rPr>
        <w:t>Merchiston</w:t>
      </w:r>
    </w:p>
    <w:p w14:paraId="332E54D6" w14:textId="12715589" w:rsidR="00C91432" w:rsidRPr="00C31B3B" w:rsidRDefault="00C91432" w:rsidP="00C91432">
      <w:pPr>
        <w:rPr>
          <w:rFonts w:ascii="Arial" w:hAnsi="Arial" w:cs="Arial"/>
        </w:rPr>
      </w:pPr>
      <w:r w:rsidRPr="00C31B3B">
        <w:rPr>
          <w:rFonts w:ascii="Arial" w:hAnsi="Arial" w:cs="Arial"/>
        </w:rPr>
        <w:t>School of Arts and Creative Industries</w:t>
      </w:r>
      <w:r>
        <w:rPr>
          <w:rFonts w:ascii="Arial" w:hAnsi="Arial" w:cs="Arial"/>
        </w:rPr>
        <w:t xml:space="preserve">: </w:t>
      </w:r>
      <w:r w:rsidRPr="00C31B3B">
        <w:rPr>
          <w:rFonts w:ascii="Arial" w:hAnsi="Arial" w:cs="Arial"/>
        </w:rPr>
        <w:t>Email: </w:t>
      </w:r>
      <w:hyperlink r:id="rId18" w:history="1">
        <w:r w:rsidRPr="00C31B3B">
          <w:rPr>
            <w:rStyle w:val="Hyperlink"/>
            <w:rFonts w:ascii="Arial" w:hAnsi="Arial" w:cs="Arial"/>
          </w:rPr>
          <w:t>Merchistonecs@napier.ac.uk</w:t>
        </w:r>
      </w:hyperlink>
    </w:p>
    <w:p w14:paraId="27EBED5D" w14:textId="6B56B824" w:rsidR="00C91432" w:rsidRPr="00C31B3B" w:rsidRDefault="00C91432" w:rsidP="00C91432">
      <w:pPr>
        <w:rPr>
          <w:rFonts w:ascii="Arial" w:hAnsi="Arial" w:cs="Arial"/>
        </w:rPr>
      </w:pPr>
      <w:r w:rsidRPr="00C31B3B">
        <w:rPr>
          <w:rFonts w:ascii="Arial" w:hAnsi="Arial" w:cs="Arial"/>
        </w:rPr>
        <w:t>School of Computing</w:t>
      </w:r>
      <w:r>
        <w:rPr>
          <w:rFonts w:ascii="Arial" w:hAnsi="Arial" w:cs="Arial"/>
        </w:rPr>
        <w:t xml:space="preserve">: </w:t>
      </w:r>
      <w:r w:rsidRPr="00C31B3B">
        <w:rPr>
          <w:rFonts w:ascii="Arial" w:hAnsi="Arial" w:cs="Arial"/>
        </w:rPr>
        <w:t>Email: </w:t>
      </w:r>
      <w:hyperlink r:id="rId19" w:history="1">
        <w:r w:rsidRPr="00C31B3B">
          <w:rPr>
            <w:rStyle w:val="Hyperlink"/>
            <w:rFonts w:ascii="Arial" w:hAnsi="Arial" w:cs="Arial"/>
          </w:rPr>
          <w:t>Merchistonecs@napier.ac.uk</w:t>
        </w:r>
      </w:hyperlink>
    </w:p>
    <w:p w14:paraId="323750F1" w14:textId="0BC46EE2" w:rsidR="00C91432" w:rsidRPr="00C31B3B" w:rsidRDefault="00C91432" w:rsidP="00C91432">
      <w:pPr>
        <w:rPr>
          <w:rFonts w:ascii="Arial" w:hAnsi="Arial" w:cs="Arial"/>
        </w:rPr>
      </w:pPr>
      <w:r w:rsidRPr="00C31B3B">
        <w:rPr>
          <w:rFonts w:ascii="Arial" w:hAnsi="Arial" w:cs="Arial"/>
        </w:rPr>
        <w:t>School of Engineering and the Built Environment</w:t>
      </w:r>
      <w:r>
        <w:rPr>
          <w:rFonts w:ascii="Arial" w:hAnsi="Arial" w:cs="Arial"/>
        </w:rPr>
        <w:t xml:space="preserve">: </w:t>
      </w:r>
      <w:r w:rsidRPr="00C31B3B">
        <w:rPr>
          <w:rFonts w:ascii="Arial" w:hAnsi="Arial" w:cs="Arial"/>
        </w:rPr>
        <w:t>Email: </w:t>
      </w:r>
      <w:hyperlink r:id="rId20" w:history="1">
        <w:r w:rsidRPr="00C31B3B">
          <w:rPr>
            <w:rStyle w:val="Hyperlink"/>
            <w:rFonts w:ascii="Arial" w:hAnsi="Arial" w:cs="Arial"/>
          </w:rPr>
          <w:t>Merchistonecs@napier.ac.uk</w:t>
        </w:r>
      </w:hyperlink>
    </w:p>
    <w:p w14:paraId="0F28F8DB" w14:textId="77777777" w:rsidR="00C91432" w:rsidRPr="00C31B3B" w:rsidRDefault="00C91432" w:rsidP="00C91432">
      <w:pPr>
        <w:rPr>
          <w:rFonts w:ascii="Arial" w:hAnsi="Arial" w:cs="Arial"/>
        </w:rPr>
      </w:pPr>
      <w:r w:rsidRPr="00C31B3B">
        <w:rPr>
          <w:rFonts w:ascii="Arial" w:hAnsi="Arial" w:cs="Arial"/>
        </w:rPr>
        <w:t> </w:t>
      </w:r>
    </w:p>
    <w:p w14:paraId="31DFB217" w14:textId="77777777" w:rsidR="00C91432" w:rsidRPr="00C31B3B" w:rsidRDefault="00C91432" w:rsidP="00C91432">
      <w:pPr>
        <w:rPr>
          <w:rFonts w:ascii="Arial" w:hAnsi="Arial" w:cs="Arial"/>
          <w:u w:val="single"/>
        </w:rPr>
      </w:pPr>
      <w:r w:rsidRPr="00C31B3B">
        <w:rPr>
          <w:rFonts w:ascii="Arial" w:hAnsi="Arial" w:cs="Arial"/>
          <w:u w:val="single"/>
        </w:rPr>
        <w:t>Sighthill</w:t>
      </w:r>
    </w:p>
    <w:p w14:paraId="7757B937" w14:textId="429313EB" w:rsidR="00C91432" w:rsidRPr="00C31B3B" w:rsidRDefault="00C91432" w:rsidP="00C91432">
      <w:pPr>
        <w:rPr>
          <w:rFonts w:ascii="Arial" w:hAnsi="Arial" w:cs="Arial"/>
        </w:rPr>
      </w:pPr>
      <w:r w:rsidRPr="00C31B3B">
        <w:rPr>
          <w:rFonts w:ascii="Arial" w:hAnsi="Arial" w:cs="Arial"/>
        </w:rPr>
        <w:t>School of Health &amp; Social Care</w:t>
      </w:r>
      <w:r>
        <w:rPr>
          <w:rFonts w:ascii="Arial" w:hAnsi="Arial" w:cs="Arial"/>
        </w:rPr>
        <w:t xml:space="preserve">: </w:t>
      </w:r>
      <w:r w:rsidRPr="00C31B3B">
        <w:rPr>
          <w:rFonts w:ascii="Arial" w:hAnsi="Arial" w:cs="Arial"/>
        </w:rPr>
        <w:t>Email: </w:t>
      </w:r>
      <w:hyperlink r:id="rId21" w:history="1">
        <w:r w:rsidRPr="00C31B3B">
          <w:rPr>
            <w:rStyle w:val="Hyperlink"/>
            <w:rFonts w:ascii="Arial" w:hAnsi="Arial" w:cs="Arial"/>
          </w:rPr>
          <w:t>SHSC.ExtCirc@napier.ac.uk</w:t>
        </w:r>
      </w:hyperlink>
      <w:r w:rsidRPr="00C31B3B">
        <w:rPr>
          <w:rFonts w:ascii="Arial" w:hAnsi="Arial" w:cs="Arial"/>
        </w:rPr>
        <w:t>  </w:t>
      </w:r>
    </w:p>
    <w:p w14:paraId="1AA016C7" w14:textId="65304896" w:rsidR="00C91432" w:rsidRPr="00C31B3B" w:rsidRDefault="00C91432" w:rsidP="00C91432">
      <w:pPr>
        <w:rPr>
          <w:rFonts w:ascii="Arial" w:hAnsi="Arial" w:cs="Arial"/>
        </w:rPr>
      </w:pPr>
      <w:r w:rsidRPr="00C31B3B">
        <w:rPr>
          <w:rFonts w:ascii="Arial" w:hAnsi="Arial" w:cs="Arial"/>
        </w:rPr>
        <w:t>School of Applied Sciences</w:t>
      </w:r>
      <w:r>
        <w:rPr>
          <w:rFonts w:ascii="Arial" w:hAnsi="Arial" w:cs="Arial"/>
        </w:rPr>
        <w:t xml:space="preserve">: </w:t>
      </w:r>
      <w:r w:rsidRPr="00C31B3B">
        <w:rPr>
          <w:rFonts w:ascii="Arial" w:hAnsi="Arial" w:cs="Arial"/>
        </w:rPr>
        <w:t>Email: </w:t>
      </w:r>
      <w:hyperlink r:id="rId22" w:history="1">
        <w:r w:rsidRPr="00C31B3B">
          <w:rPr>
            <w:rStyle w:val="Hyperlink"/>
            <w:rFonts w:ascii="Arial" w:hAnsi="Arial" w:cs="Arial"/>
          </w:rPr>
          <w:t>SAS.ExtCirc@napier.ac.uk​</w:t>
        </w:r>
      </w:hyperlink>
    </w:p>
    <w:p w14:paraId="68F71EA2" w14:textId="6B5F197F" w:rsidR="00C91432" w:rsidRDefault="00C91432" w:rsidP="00C91432"/>
    <w:p w14:paraId="3A620583" w14:textId="77777777" w:rsidR="00C91432" w:rsidRDefault="00C91432" w:rsidP="00C91432"/>
    <w:p w14:paraId="3C407DFA" w14:textId="112DC38E" w:rsidR="00EF3B5D" w:rsidRDefault="00EF3B5D" w:rsidP="00EF3B5D"/>
    <w:p w14:paraId="23B3C8FF" w14:textId="77777777" w:rsidR="003D6867" w:rsidRPr="00C31B3B" w:rsidRDefault="003D6867">
      <w:pPr>
        <w:sectPr w:rsidR="003D6867" w:rsidRPr="00C31B3B" w:rsidSect="001A22AF">
          <w:headerReference w:type="default" r:id="rId23"/>
          <w:footerReference w:type="default" r:id="rId24"/>
          <w:pgSz w:w="11906" w:h="16838"/>
          <w:pgMar w:top="1134" w:right="1134" w:bottom="1134" w:left="1134" w:header="708" w:footer="708" w:gutter="0"/>
          <w:cols w:space="708"/>
          <w:docGrid w:linePitch="360"/>
        </w:sectPr>
      </w:pPr>
    </w:p>
    <w:p w14:paraId="5232744C" w14:textId="37A4B266" w:rsidR="007A0570" w:rsidRDefault="007A0570" w:rsidP="007A0570">
      <w:pPr>
        <w:spacing w:after="200" w:line="276" w:lineRule="auto"/>
        <w:rPr>
          <w:rFonts w:ascii="Arial" w:hAnsi="Arial" w:cs="Arial"/>
          <w:b/>
          <w:spacing w:val="-3"/>
        </w:rPr>
      </w:pPr>
      <w:r>
        <w:rPr>
          <w:rFonts w:ascii="Arial" w:hAnsi="Arial" w:cs="Arial"/>
          <w:b/>
          <w:spacing w:val="-3"/>
        </w:rPr>
        <w:lastRenderedPageBreak/>
        <w:t>Extenuating Circumstances</w:t>
      </w:r>
      <w:r w:rsidR="00DD5E29">
        <w:rPr>
          <w:rFonts w:ascii="Arial" w:hAnsi="Arial" w:cs="Arial"/>
          <w:b/>
          <w:spacing w:val="-3"/>
        </w:rPr>
        <w:t xml:space="preserve"> </w:t>
      </w:r>
      <w:r>
        <w:rPr>
          <w:rFonts w:ascii="Arial" w:hAnsi="Arial" w:cs="Arial"/>
          <w:b/>
          <w:spacing w:val="-3"/>
        </w:rPr>
        <w:t>Process Flowchart                                              APPENDIX I</w:t>
      </w:r>
    </w:p>
    <w:p w14:paraId="74A46DA9" w14:textId="77777777" w:rsidR="007A0570" w:rsidRDefault="007A0570" w:rsidP="007A0570">
      <w:pPr>
        <w:pStyle w:val="ListParagraph"/>
        <w:ind w:left="0"/>
      </w:pPr>
      <w:r>
        <w:rPr>
          <w:noProof/>
        </w:rPr>
        <w:drawing>
          <wp:inline distT="0" distB="0" distL="0" distR="0" wp14:anchorId="1049D07A" wp14:editId="7ACF96A9">
            <wp:extent cx="5848350" cy="729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350" cy="7296150"/>
                    </a:xfrm>
                    <a:prstGeom prst="rect">
                      <a:avLst/>
                    </a:prstGeom>
                    <a:noFill/>
                    <a:ln>
                      <a:noFill/>
                    </a:ln>
                  </pic:spPr>
                </pic:pic>
              </a:graphicData>
            </a:graphic>
          </wp:inline>
        </w:drawing>
      </w:r>
    </w:p>
    <w:p w14:paraId="630FD55E" w14:textId="77777777" w:rsidR="007A0570" w:rsidRDefault="007A0570" w:rsidP="007A0570">
      <w:pPr>
        <w:pStyle w:val="ListParagraph"/>
        <w:ind w:left="0"/>
      </w:pPr>
    </w:p>
    <w:p w14:paraId="7179636B" w14:textId="77777777" w:rsidR="007A0570" w:rsidRDefault="007A0570" w:rsidP="007A0570">
      <w:pPr>
        <w:spacing w:after="200" w:line="276" w:lineRule="auto"/>
        <w:rPr>
          <w:rFonts w:ascii="Arial" w:hAnsi="Arial" w:cs="Arial"/>
          <w:b/>
          <w:spacing w:val="-3"/>
        </w:rPr>
      </w:pPr>
    </w:p>
    <w:p w14:paraId="58E7EBC4" w14:textId="77777777" w:rsidR="007A0570" w:rsidRDefault="007A0570" w:rsidP="007A0570">
      <w:pPr>
        <w:spacing w:after="200" w:line="276" w:lineRule="auto"/>
        <w:rPr>
          <w:rFonts w:ascii="Arial" w:hAnsi="Arial" w:cs="Arial"/>
          <w:b/>
          <w:spacing w:val="-3"/>
        </w:rPr>
      </w:pPr>
    </w:p>
    <w:p w14:paraId="544CAD9F" w14:textId="77777777" w:rsidR="007A0570" w:rsidRDefault="007A0570" w:rsidP="005C3892">
      <w:pPr>
        <w:spacing w:after="200" w:line="276" w:lineRule="auto"/>
        <w:rPr>
          <w:rFonts w:ascii="Arial" w:hAnsi="Arial" w:cs="Arial"/>
          <w:b/>
          <w:spacing w:val="-3"/>
        </w:rPr>
      </w:pPr>
    </w:p>
    <w:sectPr w:rsidR="007A0570" w:rsidSect="001A22AF">
      <w:footerReference w:type="default" r:id="rId2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BB0F1" w14:textId="77777777" w:rsidR="00BB6033" w:rsidRDefault="00BB6033" w:rsidP="007A0570">
      <w:r>
        <w:separator/>
      </w:r>
    </w:p>
  </w:endnote>
  <w:endnote w:type="continuationSeparator" w:id="0">
    <w:p w14:paraId="1C4C91E5" w14:textId="77777777" w:rsidR="00BB6033" w:rsidRDefault="00BB6033" w:rsidP="007A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C980" w14:textId="65A9C2A0" w:rsidR="007A208D" w:rsidRPr="00C31B3B" w:rsidRDefault="007A208D" w:rsidP="00C31B3B">
    <w:pPr>
      <w:pStyle w:val="Footer"/>
      <w:tabs>
        <w:tab w:val="left" w:pos="225"/>
        <w:tab w:val="right" w:pos="9638"/>
      </w:tabs>
      <w:rPr>
        <w:rFonts w:ascii="Arial" w:hAnsi="Arial" w:cs="Arial"/>
      </w:rPr>
    </w:pPr>
    <w:r>
      <w:rPr>
        <w:rFonts w:ascii="Arial" w:hAnsi="Arial" w:cs="Arial"/>
      </w:rPr>
      <w:tab/>
    </w:r>
    <w:r w:rsidRPr="00652957">
      <w:rPr>
        <w:rFonts w:ascii="Arial" w:hAnsi="Arial" w:cs="Arial"/>
        <w:sz w:val="16"/>
        <w:szCs w:val="16"/>
      </w:rPr>
      <w:t>Extenuatin</w:t>
    </w:r>
    <w:r>
      <w:rPr>
        <w:rFonts w:ascii="Arial" w:hAnsi="Arial" w:cs="Arial"/>
        <w:sz w:val="16"/>
        <w:szCs w:val="16"/>
      </w:rPr>
      <w:t>g Circumstances Regulations 2018-19</w:t>
    </w:r>
    <w:r>
      <w:rPr>
        <w:rFonts w:ascii="Arial" w:hAnsi="Arial" w:cs="Arial"/>
      </w:rPr>
      <w:tab/>
    </w:r>
    <w:r>
      <w:rPr>
        <w:rFonts w:ascii="Arial" w:hAnsi="Arial" w:cs="Arial"/>
      </w:rPr>
      <w:tab/>
    </w:r>
    <w:r>
      <w:rPr>
        <w:rFonts w:ascii="Arial" w:hAnsi="Arial" w:cs="Arial"/>
      </w:rPr>
      <w:tab/>
    </w:r>
    <w:r w:rsidRPr="00C31B3B">
      <w:rPr>
        <w:rFonts w:ascii="Arial" w:hAnsi="Arial" w:cs="Arial"/>
      </w:rPr>
      <w:fldChar w:fldCharType="begin"/>
    </w:r>
    <w:r w:rsidRPr="00C31B3B">
      <w:rPr>
        <w:rFonts w:ascii="Arial" w:hAnsi="Arial" w:cs="Arial"/>
      </w:rPr>
      <w:instrText xml:space="preserve"> PAGE   \* MERGEFORMAT </w:instrText>
    </w:r>
    <w:r w:rsidRPr="00C31B3B">
      <w:rPr>
        <w:rFonts w:ascii="Arial" w:hAnsi="Arial" w:cs="Arial"/>
      </w:rPr>
      <w:fldChar w:fldCharType="separate"/>
    </w:r>
    <w:r w:rsidR="00C31B3B">
      <w:rPr>
        <w:rFonts w:ascii="Arial" w:hAnsi="Arial" w:cs="Arial"/>
        <w:noProof/>
      </w:rPr>
      <w:t>10</w:t>
    </w:r>
    <w:r w:rsidRPr="00C31B3B">
      <w:rPr>
        <w:rFonts w:ascii="Arial" w:hAnsi="Arial" w:cs="Arial"/>
      </w:rPr>
      <w:fldChar w:fldCharType="end"/>
    </w:r>
    <w:r w:rsidRPr="00C31B3B">
      <w:rPr>
        <w:rFonts w:ascii="Arial" w:hAnsi="Arial" w:cs="Arial"/>
      </w:rPr>
      <w:t>/</w:t>
    </w:r>
    <w:r w:rsidRPr="00C31B3B">
      <w:rPr>
        <w:rFonts w:ascii="Arial" w:hAnsi="Arial" w:cs="Arial"/>
      </w:rPr>
      <w:fldChar w:fldCharType="begin"/>
    </w:r>
    <w:r w:rsidRPr="00C31B3B">
      <w:rPr>
        <w:rFonts w:ascii="Arial" w:hAnsi="Arial" w:cs="Arial"/>
      </w:rPr>
      <w:instrText xml:space="preserve"> NUMPAGES   \* MERGEFORMAT </w:instrText>
    </w:r>
    <w:r w:rsidRPr="00C31B3B">
      <w:rPr>
        <w:rFonts w:ascii="Arial" w:hAnsi="Arial" w:cs="Arial"/>
      </w:rPr>
      <w:fldChar w:fldCharType="separate"/>
    </w:r>
    <w:r w:rsidR="00C31B3B">
      <w:rPr>
        <w:rFonts w:ascii="Arial" w:hAnsi="Arial" w:cs="Arial"/>
        <w:noProof/>
      </w:rPr>
      <w:t>21</w:t>
    </w:r>
    <w:r w:rsidRPr="00C31B3B">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B434B" w14:textId="49EE9561" w:rsidR="007A208D" w:rsidRPr="007A208D" w:rsidRDefault="007A208D" w:rsidP="00C31B3B">
    <w:pPr>
      <w:pStyle w:val="Footer"/>
      <w:tabs>
        <w:tab w:val="clear" w:pos="4513"/>
        <w:tab w:val="clear" w:pos="9026"/>
        <w:tab w:val="left" w:pos="8370"/>
      </w:tabs>
    </w:pPr>
    <w:r w:rsidRPr="00652957">
      <w:rPr>
        <w:rFonts w:ascii="Arial" w:hAnsi="Arial" w:cs="Arial"/>
        <w:sz w:val="16"/>
        <w:szCs w:val="16"/>
      </w:rPr>
      <w:t>Extenuatin</w:t>
    </w:r>
    <w:r>
      <w:rPr>
        <w:rFonts w:ascii="Arial" w:hAnsi="Arial" w:cs="Arial"/>
        <w:sz w:val="16"/>
        <w:szCs w:val="16"/>
      </w:rPr>
      <w:t>g Circumstances Regulations 2018-19</w:t>
    </w:r>
    <w:r>
      <w:rPr>
        <w:rFonts w:ascii="Arial" w:hAnsi="Arial" w:cs="Arial"/>
        <w:sz w:val="16"/>
        <w:szCs w:val="16"/>
      </w:rPr>
      <w:tab/>
    </w:r>
    <w:r w:rsidR="00E60AC2">
      <w:rPr>
        <w:rFonts w:ascii="Arial" w:hAnsi="Arial" w:cs="Arial"/>
        <w:sz w:val="16"/>
        <w:szCs w:val="16"/>
      </w:rPr>
      <w:t xml:space="preserve"> </w:t>
    </w:r>
    <w:r w:rsidR="00E60AC2">
      <w:rPr>
        <w:rFonts w:ascii="Arial" w:hAnsi="Arial" w:cs="Arial"/>
      </w:rPr>
      <w:fldChar w:fldCharType="begin"/>
    </w:r>
    <w:r w:rsidR="00E60AC2">
      <w:rPr>
        <w:rFonts w:ascii="Arial" w:hAnsi="Arial" w:cs="Arial"/>
      </w:rPr>
      <w:instrText xml:space="preserve"> PAGE   \* MERGEFORMAT </w:instrText>
    </w:r>
    <w:r w:rsidR="00E60AC2">
      <w:rPr>
        <w:rFonts w:ascii="Arial" w:hAnsi="Arial" w:cs="Arial"/>
      </w:rPr>
      <w:fldChar w:fldCharType="separate"/>
    </w:r>
    <w:r w:rsidR="00C31B3B">
      <w:rPr>
        <w:rFonts w:ascii="Arial" w:hAnsi="Arial" w:cs="Arial"/>
        <w:noProof/>
      </w:rPr>
      <w:t>3</w:t>
    </w:r>
    <w:r w:rsidR="00E60AC2">
      <w:rPr>
        <w:rFonts w:ascii="Arial" w:hAnsi="Arial" w:cs="Arial"/>
      </w:rPr>
      <w:fldChar w:fldCharType="end"/>
    </w:r>
    <w:r w:rsidRPr="00C31B3B">
      <w:rPr>
        <w:rFonts w:ascii="Arial" w:hAnsi="Arial" w:cs="Arial"/>
      </w:rPr>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4CC6" w14:textId="412CB411" w:rsidR="00BB6033" w:rsidRPr="00512600" w:rsidRDefault="00BB6033" w:rsidP="00C31B3B">
    <w:pPr>
      <w:pStyle w:val="Footer"/>
      <w:tabs>
        <w:tab w:val="clear" w:pos="4513"/>
        <w:tab w:val="clear" w:pos="9026"/>
        <w:tab w:val="right" w:pos="9720"/>
      </w:tabs>
      <w:ind w:right="-82"/>
      <w:rPr>
        <w:rFonts w:ascii="Arial" w:hAnsi="Arial" w:cs="Arial"/>
        <w:sz w:val="16"/>
        <w:szCs w:val="16"/>
      </w:rPr>
    </w:pPr>
    <w:r w:rsidRPr="00652957">
      <w:rPr>
        <w:rFonts w:ascii="Arial" w:hAnsi="Arial" w:cs="Arial"/>
        <w:sz w:val="16"/>
        <w:szCs w:val="16"/>
      </w:rPr>
      <w:t>Extenuatin</w:t>
    </w:r>
    <w:r>
      <w:rPr>
        <w:rFonts w:ascii="Arial" w:hAnsi="Arial" w:cs="Arial"/>
        <w:sz w:val="16"/>
        <w:szCs w:val="16"/>
      </w:rPr>
      <w:t>g Circumstances Regulations 2018-19</w:t>
    </w:r>
    <w:r w:rsidR="007A208D">
      <w:rPr>
        <w:rFonts w:ascii="Arial" w:hAnsi="Arial" w:cs="Arial"/>
        <w:sz w:val="16"/>
        <w:szCs w:val="16"/>
      </w:rPr>
      <w:tab/>
    </w:r>
    <w:r w:rsidR="00E60AC2" w:rsidRPr="00E60AC2">
      <w:rPr>
        <w:rFonts w:ascii="Arial" w:hAnsi="Arial" w:cs="Arial"/>
      </w:rPr>
      <w:fldChar w:fldCharType="begin"/>
    </w:r>
    <w:r w:rsidR="00E60AC2" w:rsidRPr="00E60AC2">
      <w:rPr>
        <w:rFonts w:ascii="Arial" w:hAnsi="Arial" w:cs="Arial"/>
      </w:rPr>
      <w:instrText xml:space="preserve"> PAGE   \* MERGEFORMAT </w:instrText>
    </w:r>
    <w:r w:rsidR="00E60AC2" w:rsidRPr="00E60AC2">
      <w:rPr>
        <w:rFonts w:ascii="Arial" w:hAnsi="Arial" w:cs="Arial"/>
      </w:rPr>
      <w:fldChar w:fldCharType="separate"/>
    </w:r>
    <w:r w:rsidR="00C31B3B">
      <w:rPr>
        <w:rFonts w:ascii="Arial" w:hAnsi="Arial" w:cs="Arial"/>
        <w:noProof/>
      </w:rPr>
      <w:t>8</w:t>
    </w:r>
    <w:r w:rsidR="00E60AC2" w:rsidRPr="00E60AC2">
      <w:rPr>
        <w:rFonts w:ascii="Arial" w:hAnsi="Arial" w:cs="Arial"/>
      </w:rPr>
      <w:fldChar w:fldCharType="end"/>
    </w:r>
    <w:r w:rsidR="007A208D" w:rsidRPr="00C31B3B">
      <w:rPr>
        <w:rFonts w:ascii="Arial" w:hAnsi="Arial" w:cs="Arial"/>
      </w:rPr>
      <w:t>/9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58C" w14:textId="36A624F1" w:rsidR="00BB6033" w:rsidRPr="00512600" w:rsidRDefault="00BB6033" w:rsidP="001A22AF">
    <w:pPr>
      <w:pStyle w:val="Footer"/>
      <w:tabs>
        <w:tab w:val="left" w:pos="9540"/>
      </w:tabs>
      <w:ind w:right="-82"/>
      <w:rPr>
        <w:rFonts w:ascii="Arial" w:hAnsi="Arial" w:cs="Arial"/>
        <w:sz w:val="16"/>
        <w:szCs w:val="16"/>
      </w:rPr>
    </w:pPr>
    <w:r w:rsidRPr="00652957">
      <w:rPr>
        <w:rFonts w:ascii="Arial" w:hAnsi="Arial" w:cs="Arial"/>
        <w:sz w:val="16"/>
        <w:szCs w:val="16"/>
      </w:rPr>
      <w:t>Extenuatin</w:t>
    </w:r>
    <w:r>
      <w:rPr>
        <w:rFonts w:ascii="Arial" w:hAnsi="Arial" w:cs="Arial"/>
        <w:sz w:val="16"/>
        <w:szCs w:val="16"/>
      </w:rPr>
      <w:t>g Circumstances Regulations 201</w:t>
    </w:r>
    <w:r w:rsidR="00F6271E">
      <w:rPr>
        <w:rFonts w:ascii="Arial" w:hAnsi="Arial" w:cs="Arial"/>
        <w:sz w:val="16"/>
        <w:szCs w:val="16"/>
      </w:rPr>
      <w:t>8</w:t>
    </w:r>
    <w:r>
      <w:rPr>
        <w:rFonts w:ascii="Arial" w:hAnsi="Arial" w:cs="Arial"/>
        <w:sz w:val="16"/>
        <w:szCs w:val="16"/>
      </w:rPr>
      <w:t>-1</w:t>
    </w:r>
    <w:r w:rsidR="00F6271E">
      <w:rPr>
        <w:rFonts w:ascii="Arial" w:hAnsi="Arial" w:cs="Arial"/>
        <w:sz w:val="16"/>
        <w:szCs w:val="16"/>
      </w:rPr>
      <w:t>9</w:t>
    </w:r>
  </w:p>
  <w:p w14:paraId="12CD9EC5" w14:textId="77777777" w:rsidR="00BB6033" w:rsidRPr="00652957" w:rsidRDefault="00BB6033" w:rsidP="001A22AF">
    <w:pPr>
      <w:pStyle w:val="Footer"/>
      <w:jc w:val="center"/>
      <w:rPr>
        <w:rFonts w:ascii="Arial" w:hAnsi="Arial" w:cs="Arial"/>
        <w:sz w:val="16"/>
        <w:szCs w:val="16"/>
      </w:rPr>
    </w:pPr>
  </w:p>
  <w:p w14:paraId="7550960C" w14:textId="614E2174" w:rsidR="00BB6033" w:rsidRPr="00C31B3B" w:rsidRDefault="007A208D" w:rsidP="00C31B3B">
    <w:pPr>
      <w:pStyle w:val="Footer"/>
      <w:jc w:val="right"/>
      <w:rPr>
        <w:rFonts w:ascii="Arial" w:hAnsi="Arial" w:cs="Arial"/>
      </w:rPr>
    </w:pPr>
    <w:r w:rsidRPr="00C31B3B">
      <w:rPr>
        <w:rFonts w:ascii="Arial" w:hAnsi="Arial" w:cs="Arial"/>
      </w:rPr>
      <w:t>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E3095" w14:textId="77777777" w:rsidR="00BB6033" w:rsidRDefault="00BB6033" w:rsidP="007A0570">
      <w:r>
        <w:separator/>
      </w:r>
    </w:p>
  </w:footnote>
  <w:footnote w:type="continuationSeparator" w:id="0">
    <w:p w14:paraId="5D05D81B" w14:textId="77777777" w:rsidR="00BB6033" w:rsidRDefault="00BB6033" w:rsidP="007A0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540F" w14:textId="77777777" w:rsidR="00BB6033" w:rsidRPr="00512600" w:rsidRDefault="00BB6033" w:rsidP="001A22AF">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DBA"/>
    <w:multiLevelType w:val="hybridMultilevel"/>
    <w:tmpl w:val="54CC6A02"/>
    <w:lvl w:ilvl="0" w:tplc="9DEE26D8">
      <w:start w:val="1"/>
      <w:numFmt w:val="lowerRoman"/>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1A756B"/>
    <w:multiLevelType w:val="hybridMultilevel"/>
    <w:tmpl w:val="95EAA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615D"/>
    <w:multiLevelType w:val="hybridMultilevel"/>
    <w:tmpl w:val="F740E1F8"/>
    <w:lvl w:ilvl="0" w:tplc="7B8891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11555"/>
    <w:multiLevelType w:val="hybridMultilevel"/>
    <w:tmpl w:val="2F30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49D9"/>
    <w:multiLevelType w:val="hybridMultilevel"/>
    <w:tmpl w:val="AF8E56A6"/>
    <w:lvl w:ilvl="0" w:tplc="9DEE26D8">
      <w:start w:val="1"/>
      <w:numFmt w:val="lowerRoman"/>
      <w:lvlText w:val="%1)"/>
      <w:lvlJc w:val="left"/>
      <w:pPr>
        <w:tabs>
          <w:tab w:val="num" w:pos="1571"/>
        </w:tabs>
        <w:ind w:left="1571" w:hanging="720"/>
      </w:pPr>
      <w:rPr>
        <w:rFonts w:hint="default"/>
        <w:b w:val="0"/>
        <w:i w:val="0"/>
      </w:rPr>
    </w:lvl>
    <w:lvl w:ilvl="1" w:tplc="08090019">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5" w15:restartNumberingAfterBreak="0">
    <w:nsid w:val="19300A3C"/>
    <w:multiLevelType w:val="hybridMultilevel"/>
    <w:tmpl w:val="AAF27064"/>
    <w:lvl w:ilvl="0" w:tplc="2A1E37D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073174E"/>
    <w:multiLevelType w:val="hybridMultilevel"/>
    <w:tmpl w:val="6F441C86"/>
    <w:lvl w:ilvl="0" w:tplc="9DEE26D8">
      <w:start w:val="1"/>
      <w:numFmt w:val="lowerRoman"/>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BD3FEC"/>
    <w:multiLevelType w:val="hybridMultilevel"/>
    <w:tmpl w:val="97F2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85A03"/>
    <w:multiLevelType w:val="hybridMultilevel"/>
    <w:tmpl w:val="AEF8D1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626ABB"/>
    <w:multiLevelType w:val="hybridMultilevel"/>
    <w:tmpl w:val="8A50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859A5"/>
    <w:multiLevelType w:val="hybridMultilevel"/>
    <w:tmpl w:val="BDAC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404CE"/>
    <w:multiLevelType w:val="hybridMultilevel"/>
    <w:tmpl w:val="2448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15FAC"/>
    <w:multiLevelType w:val="hybridMultilevel"/>
    <w:tmpl w:val="31B4145E"/>
    <w:lvl w:ilvl="0" w:tplc="9DEE26D8">
      <w:start w:val="1"/>
      <w:numFmt w:val="lowerRoman"/>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54D4A"/>
    <w:multiLevelType w:val="hybridMultilevel"/>
    <w:tmpl w:val="B79ED5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7052FA2"/>
    <w:multiLevelType w:val="hybridMultilevel"/>
    <w:tmpl w:val="08F64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8532E60"/>
    <w:multiLevelType w:val="hybridMultilevel"/>
    <w:tmpl w:val="90709B78"/>
    <w:lvl w:ilvl="0" w:tplc="9DEE26D8">
      <w:start w:val="1"/>
      <w:numFmt w:val="lowerRoman"/>
      <w:lvlText w:val="%1)"/>
      <w:lvlJc w:val="left"/>
      <w:pPr>
        <w:ind w:left="720" w:hanging="360"/>
      </w:pPr>
      <w:rPr>
        <w:rFont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062F0"/>
    <w:multiLevelType w:val="hybridMultilevel"/>
    <w:tmpl w:val="BC386B84"/>
    <w:lvl w:ilvl="0" w:tplc="9DEE26D8">
      <w:start w:val="1"/>
      <w:numFmt w:val="lowerRoman"/>
      <w:lvlText w:val="%1)"/>
      <w:lvlJc w:val="left"/>
      <w:pPr>
        <w:ind w:left="1211" w:hanging="360"/>
      </w:pPr>
      <w:rPr>
        <w:rFonts w:hint="default"/>
        <w:b w:val="0"/>
        <w:i w:val="0"/>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72D06C37"/>
    <w:multiLevelType w:val="hybridMultilevel"/>
    <w:tmpl w:val="00BA3C42"/>
    <w:lvl w:ilvl="0" w:tplc="F8B26E14">
      <w:start w:val="1"/>
      <w:numFmt w:val="lowerLetter"/>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83D7E"/>
    <w:multiLevelType w:val="hybridMultilevel"/>
    <w:tmpl w:val="A5B8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11"/>
  </w:num>
  <w:num w:numId="5">
    <w:abstractNumId w:val="9"/>
  </w:num>
  <w:num w:numId="6">
    <w:abstractNumId w:val="12"/>
  </w:num>
  <w:num w:numId="7">
    <w:abstractNumId w:val="15"/>
  </w:num>
  <w:num w:numId="8">
    <w:abstractNumId w:val="16"/>
  </w:num>
  <w:num w:numId="9">
    <w:abstractNumId w:val="0"/>
  </w:num>
  <w:num w:numId="10">
    <w:abstractNumId w:val="4"/>
  </w:num>
  <w:num w:numId="11">
    <w:abstractNumId w:val="6"/>
  </w:num>
  <w:num w:numId="12">
    <w:abstractNumId w:val="10"/>
  </w:num>
  <w:num w:numId="13">
    <w:abstractNumId w:val="1"/>
  </w:num>
  <w:num w:numId="14">
    <w:abstractNumId w:val="17"/>
  </w:num>
  <w:num w:numId="15">
    <w:abstractNumId w:val="7"/>
  </w:num>
  <w:num w:numId="16">
    <w:abstractNumId w:val="2"/>
  </w:num>
  <w:num w:numId="17">
    <w:abstractNumId w:val="13"/>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EC"/>
    <w:rsid w:val="000161B8"/>
    <w:rsid w:val="000B41CB"/>
    <w:rsid w:val="00131CD0"/>
    <w:rsid w:val="001339BB"/>
    <w:rsid w:val="001718B0"/>
    <w:rsid w:val="001A22AF"/>
    <w:rsid w:val="001B796C"/>
    <w:rsid w:val="001F1EBE"/>
    <w:rsid w:val="0024221E"/>
    <w:rsid w:val="00251289"/>
    <w:rsid w:val="002A3D3F"/>
    <w:rsid w:val="00344EC0"/>
    <w:rsid w:val="003D6867"/>
    <w:rsid w:val="004451A8"/>
    <w:rsid w:val="00480353"/>
    <w:rsid w:val="0049522E"/>
    <w:rsid w:val="005509F7"/>
    <w:rsid w:val="005C3892"/>
    <w:rsid w:val="00670064"/>
    <w:rsid w:val="006740D6"/>
    <w:rsid w:val="006A0010"/>
    <w:rsid w:val="006B1732"/>
    <w:rsid w:val="006E4923"/>
    <w:rsid w:val="00706BC1"/>
    <w:rsid w:val="00771037"/>
    <w:rsid w:val="007A0570"/>
    <w:rsid w:val="007A208D"/>
    <w:rsid w:val="007B12CF"/>
    <w:rsid w:val="008238DF"/>
    <w:rsid w:val="00881BC1"/>
    <w:rsid w:val="008B12EC"/>
    <w:rsid w:val="0090790D"/>
    <w:rsid w:val="00921234"/>
    <w:rsid w:val="00936595"/>
    <w:rsid w:val="009478DE"/>
    <w:rsid w:val="009E2B9E"/>
    <w:rsid w:val="00A60657"/>
    <w:rsid w:val="00A87F8A"/>
    <w:rsid w:val="00AF4498"/>
    <w:rsid w:val="00B47C3B"/>
    <w:rsid w:val="00BB6033"/>
    <w:rsid w:val="00BC3068"/>
    <w:rsid w:val="00BD0CD2"/>
    <w:rsid w:val="00BD79AA"/>
    <w:rsid w:val="00C31B3B"/>
    <w:rsid w:val="00C91432"/>
    <w:rsid w:val="00CD3A23"/>
    <w:rsid w:val="00CE2FD8"/>
    <w:rsid w:val="00D918A9"/>
    <w:rsid w:val="00DD5E29"/>
    <w:rsid w:val="00E31BA1"/>
    <w:rsid w:val="00E60AC2"/>
    <w:rsid w:val="00EF3B5D"/>
    <w:rsid w:val="00F51533"/>
    <w:rsid w:val="00F6271E"/>
    <w:rsid w:val="00F668D5"/>
    <w:rsid w:val="00F7779E"/>
    <w:rsid w:val="00FF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52D66"/>
  <w15:chartTrackingRefBased/>
  <w15:docId w15:val="{65633214-5A30-4D57-B596-3849EF0F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5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057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7A0570"/>
    <w:pPr>
      <w:keepNext/>
      <w:jc w:val="center"/>
      <w:outlineLvl w:val="1"/>
    </w:pPr>
    <w:rPr>
      <w:rFonts w:ascii="Tahoma" w:hAnsi="Tahoma"/>
      <w:b/>
      <w:color w:val="FF0000"/>
      <w:szCs w:val="20"/>
    </w:rPr>
  </w:style>
  <w:style w:type="paragraph" w:styleId="Heading3">
    <w:name w:val="heading 3"/>
    <w:basedOn w:val="Normal"/>
    <w:next w:val="Normal"/>
    <w:link w:val="Heading3Char"/>
    <w:qFormat/>
    <w:rsid w:val="007A0570"/>
    <w:pPr>
      <w:keepNext/>
      <w:outlineLvl w:val="2"/>
    </w:pPr>
    <w:rPr>
      <w:b/>
      <w:bCs/>
    </w:rPr>
  </w:style>
  <w:style w:type="paragraph" w:styleId="Heading4">
    <w:name w:val="heading 4"/>
    <w:basedOn w:val="Normal"/>
    <w:next w:val="Normal"/>
    <w:link w:val="Heading4Char"/>
    <w:unhideWhenUsed/>
    <w:qFormat/>
    <w:rsid w:val="007A0570"/>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A0570"/>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57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7A0570"/>
    <w:rPr>
      <w:rFonts w:ascii="Tahoma" w:eastAsia="Times New Roman" w:hAnsi="Tahoma" w:cs="Times New Roman"/>
      <w:b/>
      <w:color w:val="FF0000"/>
      <w:sz w:val="24"/>
      <w:szCs w:val="20"/>
    </w:rPr>
  </w:style>
  <w:style w:type="character" w:customStyle="1" w:styleId="Heading3Char">
    <w:name w:val="Heading 3 Char"/>
    <w:basedOn w:val="DefaultParagraphFont"/>
    <w:link w:val="Heading3"/>
    <w:rsid w:val="007A057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A0570"/>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7A057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7A0570"/>
    <w:pPr>
      <w:tabs>
        <w:tab w:val="center" w:pos="4513"/>
        <w:tab w:val="right" w:pos="9026"/>
      </w:tabs>
    </w:pPr>
  </w:style>
  <w:style w:type="character" w:customStyle="1" w:styleId="HeaderChar">
    <w:name w:val="Header Char"/>
    <w:basedOn w:val="DefaultParagraphFont"/>
    <w:link w:val="Header"/>
    <w:rsid w:val="007A05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0570"/>
    <w:pPr>
      <w:tabs>
        <w:tab w:val="center" w:pos="4513"/>
        <w:tab w:val="right" w:pos="9026"/>
      </w:tabs>
    </w:pPr>
  </w:style>
  <w:style w:type="character" w:customStyle="1" w:styleId="FooterChar">
    <w:name w:val="Footer Char"/>
    <w:basedOn w:val="DefaultParagraphFont"/>
    <w:link w:val="Footer"/>
    <w:uiPriority w:val="99"/>
    <w:rsid w:val="007A05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570"/>
    <w:rPr>
      <w:rFonts w:ascii="Tahoma" w:hAnsi="Tahoma" w:cs="Tahoma"/>
      <w:sz w:val="16"/>
      <w:szCs w:val="16"/>
    </w:rPr>
  </w:style>
  <w:style w:type="character" w:customStyle="1" w:styleId="BalloonTextChar">
    <w:name w:val="Balloon Text Char"/>
    <w:basedOn w:val="DefaultParagraphFont"/>
    <w:link w:val="BalloonText"/>
    <w:uiPriority w:val="99"/>
    <w:semiHidden/>
    <w:rsid w:val="007A0570"/>
    <w:rPr>
      <w:rFonts w:ascii="Tahoma" w:eastAsia="Times New Roman" w:hAnsi="Tahoma" w:cs="Tahoma"/>
      <w:sz w:val="16"/>
      <w:szCs w:val="16"/>
    </w:rPr>
  </w:style>
  <w:style w:type="character" w:styleId="PageNumber">
    <w:name w:val="page number"/>
    <w:basedOn w:val="DefaultParagraphFont"/>
    <w:rsid w:val="007A0570"/>
  </w:style>
  <w:style w:type="paragraph" w:styleId="ListParagraph">
    <w:name w:val="List Paragraph"/>
    <w:basedOn w:val="Normal"/>
    <w:uiPriority w:val="34"/>
    <w:qFormat/>
    <w:rsid w:val="007A0570"/>
    <w:pPr>
      <w:ind w:left="720"/>
    </w:pPr>
    <w:rPr>
      <w:rFonts w:ascii="Arial" w:hAnsi="Arial" w:cs="Arial"/>
      <w:lang w:eastAsia="en-GB"/>
    </w:rPr>
  </w:style>
  <w:style w:type="character" w:styleId="Hyperlink">
    <w:name w:val="Hyperlink"/>
    <w:basedOn w:val="DefaultParagraphFont"/>
    <w:uiPriority w:val="99"/>
    <w:rsid w:val="007A0570"/>
    <w:rPr>
      <w:color w:val="0000FF"/>
      <w:u w:val="single"/>
    </w:rPr>
  </w:style>
  <w:style w:type="paragraph" w:styleId="FootnoteText">
    <w:name w:val="footnote text"/>
    <w:basedOn w:val="Normal"/>
    <w:link w:val="FootnoteTextChar"/>
    <w:uiPriority w:val="99"/>
    <w:semiHidden/>
    <w:unhideWhenUsed/>
    <w:rsid w:val="007A0570"/>
    <w:rPr>
      <w:sz w:val="20"/>
      <w:szCs w:val="20"/>
    </w:rPr>
  </w:style>
  <w:style w:type="character" w:customStyle="1" w:styleId="FootnoteTextChar">
    <w:name w:val="Footnote Text Char"/>
    <w:basedOn w:val="DefaultParagraphFont"/>
    <w:link w:val="FootnoteText"/>
    <w:uiPriority w:val="99"/>
    <w:semiHidden/>
    <w:rsid w:val="007A05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0570"/>
    <w:rPr>
      <w:vertAlign w:val="superscript"/>
    </w:rPr>
  </w:style>
  <w:style w:type="paragraph" w:styleId="BodyText">
    <w:name w:val="Body Text"/>
    <w:basedOn w:val="Normal"/>
    <w:link w:val="BodyTextChar"/>
    <w:rsid w:val="007A0570"/>
    <w:rPr>
      <w:b/>
      <w:bCs/>
    </w:rPr>
  </w:style>
  <w:style w:type="character" w:customStyle="1" w:styleId="BodyTextChar">
    <w:name w:val="Body Text Char"/>
    <w:basedOn w:val="DefaultParagraphFont"/>
    <w:link w:val="BodyText"/>
    <w:rsid w:val="007A0570"/>
    <w:rPr>
      <w:rFonts w:ascii="Times New Roman" w:eastAsia="Times New Roman" w:hAnsi="Times New Roman" w:cs="Times New Roman"/>
      <w:b/>
      <w:bCs/>
      <w:sz w:val="24"/>
      <w:szCs w:val="24"/>
    </w:rPr>
  </w:style>
  <w:style w:type="paragraph" w:customStyle="1" w:styleId="Default">
    <w:name w:val="Default"/>
    <w:rsid w:val="007A057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rsid w:val="007A0570"/>
    <w:pPr>
      <w:spacing w:before="100" w:beforeAutospacing="1" w:after="100" w:afterAutospacing="1"/>
    </w:pPr>
    <w:rPr>
      <w:lang w:eastAsia="en-GB"/>
    </w:rPr>
  </w:style>
  <w:style w:type="character" w:styleId="Emphasis">
    <w:name w:val="Emphasis"/>
    <w:qFormat/>
    <w:rsid w:val="007A0570"/>
    <w:rPr>
      <w:i/>
      <w:iCs/>
    </w:rPr>
  </w:style>
  <w:style w:type="table" w:styleId="TableGrid">
    <w:name w:val="Table Grid"/>
    <w:basedOn w:val="TableNormal"/>
    <w:uiPriority w:val="39"/>
    <w:rsid w:val="007A0570"/>
    <w:pPr>
      <w:spacing w:after="0" w:line="240" w:lineRule="auto"/>
    </w:pPr>
    <w:rPr>
      <w:rFonts w:ascii="Arial" w:eastAsia="Times New Roman" w:hAnsi="Arial" w:cs="Arial"/>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7A0570"/>
    <w:pPr>
      <w:jc w:val="both"/>
    </w:pPr>
    <w:rPr>
      <w:color w:val="FF0000"/>
      <w:szCs w:val="20"/>
    </w:rPr>
  </w:style>
  <w:style w:type="character" w:customStyle="1" w:styleId="BodyText2Char">
    <w:name w:val="Body Text 2 Char"/>
    <w:basedOn w:val="DefaultParagraphFont"/>
    <w:link w:val="BodyText2"/>
    <w:rsid w:val="007A0570"/>
    <w:rPr>
      <w:rFonts w:ascii="Times New Roman" w:eastAsia="Times New Roman" w:hAnsi="Times New Roman" w:cs="Times New Roman"/>
      <w:color w:val="FF0000"/>
      <w:sz w:val="24"/>
      <w:szCs w:val="20"/>
    </w:rPr>
  </w:style>
  <w:style w:type="paragraph" w:styleId="BodyTextIndent">
    <w:name w:val="Body Text Indent"/>
    <w:basedOn w:val="Normal"/>
    <w:link w:val="BodyTextIndentChar"/>
    <w:uiPriority w:val="99"/>
    <w:unhideWhenUsed/>
    <w:rsid w:val="007A0570"/>
    <w:pPr>
      <w:spacing w:after="120"/>
      <w:ind w:left="283"/>
    </w:pPr>
  </w:style>
  <w:style w:type="character" w:customStyle="1" w:styleId="BodyTextIndentChar">
    <w:name w:val="Body Text Indent Char"/>
    <w:basedOn w:val="DefaultParagraphFont"/>
    <w:link w:val="BodyTextIndent"/>
    <w:uiPriority w:val="99"/>
    <w:rsid w:val="007A057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A0570"/>
    <w:rPr>
      <w:rFonts w:eastAsia="Calibri"/>
      <w:sz w:val="20"/>
      <w:szCs w:val="20"/>
      <w:lang w:eastAsia="en-GB"/>
    </w:rPr>
  </w:style>
  <w:style w:type="character" w:customStyle="1" w:styleId="CommentTextChar">
    <w:name w:val="Comment Text Char"/>
    <w:basedOn w:val="DefaultParagraphFont"/>
    <w:link w:val="CommentText"/>
    <w:uiPriority w:val="99"/>
    <w:semiHidden/>
    <w:rsid w:val="007A0570"/>
    <w:rPr>
      <w:rFonts w:ascii="Times New Roman" w:eastAsia="Calibri" w:hAnsi="Times New Roman" w:cs="Times New Roman"/>
      <w:sz w:val="20"/>
      <w:szCs w:val="20"/>
      <w:lang w:eastAsia="en-GB"/>
    </w:rPr>
  </w:style>
  <w:style w:type="character" w:styleId="CommentReference">
    <w:name w:val="annotation reference"/>
    <w:basedOn w:val="DefaultParagraphFont"/>
    <w:uiPriority w:val="99"/>
    <w:semiHidden/>
    <w:unhideWhenUsed/>
    <w:rsid w:val="007A0570"/>
  </w:style>
  <w:style w:type="paragraph" w:styleId="CommentSubject">
    <w:name w:val="annotation subject"/>
    <w:basedOn w:val="CommentText"/>
    <w:next w:val="CommentText"/>
    <w:link w:val="CommentSubjectChar"/>
    <w:uiPriority w:val="99"/>
    <w:semiHidden/>
    <w:unhideWhenUsed/>
    <w:rsid w:val="007A0570"/>
    <w:rPr>
      <w:rFonts w:eastAsia="Times New Roman"/>
      <w:b/>
      <w:bCs/>
      <w:lang w:eastAsia="en-US"/>
    </w:rPr>
  </w:style>
  <w:style w:type="character" w:customStyle="1" w:styleId="CommentSubjectChar">
    <w:name w:val="Comment Subject Char"/>
    <w:basedOn w:val="CommentTextChar"/>
    <w:link w:val="CommentSubject"/>
    <w:uiPriority w:val="99"/>
    <w:semiHidden/>
    <w:rsid w:val="007A0570"/>
    <w:rPr>
      <w:rFonts w:ascii="Times New Roman" w:eastAsia="Times New Roman" w:hAnsi="Times New Roman" w:cs="Times New Roman"/>
      <w:b/>
      <w:bCs/>
      <w:sz w:val="20"/>
      <w:szCs w:val="20"/>
      <w:lang w:eastAsia="en-GB"/>
    </w:rPr>
  </w:style>
  <w:style w:type="paragraph" w:styleId="NoSpacing">
    <w:name w:val="No Spacing"/>
    <w:uiPriority w:val="1"/>
    <w:qFormat/>
    <w:rsid w:val="007A0570"/>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7A0570"/>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1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973">
      <w:bodyDiv w:val="1"/>
      <w:marLeft w:val="0"/>
      <w:marRight w:val="0"/>
      <w:marTop w:val="0"/>
      <w:marBottom w:val="0"/>
      <w:divBdr>
        <w:top w:val="none" w:sz="0" w:space="0" w:color="auto"/>
        <w:left w:val="none" w:sz="0" w:space="0" w:color="auto"/>
        <w:bottom w:val="none" w:sz="0" w:space="0" w:color="auto"/>
        <w:right w:val="none" w:sz="0" w:space="0" w:color="auto"/>
      </w:divBdr>
      <w:divsChild>
        <w:div w:id="1510481777">
          <w:marLeft w:val="0"/>
          <w:marRight w:val="0"/>
          <w:marTop w:val="0"/>
          <w:marBottom w:val="0"/>
          <w:divBdr>
            <w:top w:val="none" w:sz="0" w:space="0" w:color="auto"/>
            <w:left w:val="none" w:sz="0" w:space="0" w:color="auto"/>
            <w:bottom w:val="none" w:sz="0" w:space="0" w:color="auto"/>
            <w:right w:val="none" w:sz="0" w:space="0" w:color="auto"/>
          </w:divBdr>
        </w:div>
        <w:div w:id="1356736055">
          <w:marLeft w:val="0"/>
          <w:marRight w:val="0"/>
          <w:marTop w:val="0"/>
          <w:marBottom w:val="0"/>
          <w:divBdr>
            <w:top w:val="none" w:sz="0" w:space="0" w:color="auto"/>
            <w:left w:val="none" w:sz="0" w:space="0" w:color="auto"/>
            <w:bottom w:val="none" w:sz="0" w:space="0" w:color="auto"/>
            <w:right w:val="none" w:sz="0" w:space="0" w:color="auto"/>
          </w:divBdr>
        </w:div>
        <w:div w:id="28523959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
        <w:div w:id="1317950022">
          <w:marLeft w:val="0"/>
          <w:marRight w:val="0"/>
          <w:marTop w:val="0"/>
          <w:marBottom w:val="0"/>
          <w:divBdr>
            <w:top w:val="none" w:sz="0" w:space="0" w:color="auto"/>
            <w:left w:val="none" w:sz="0" w:space="0" w:color="auto"/>
            <w:bottom w:val="none" w:sz="0" w:space="0" w:color="auto"/>
            <w:right w:val="none" w:sz="0" w:space="0" w:color="auto"/>
          </w:divBdr>
        </w:div>
        <w:div w:id="1975138406">
          <w:marLeft w:val="0"/>
          <w:marRight w:val="0"/>
          <w:marTop w:val="0"/>
          <w:marBottom w:val="0"/>
          <w:divBdr>
            <w:top w:val="none" w:sz="0" w:space="0" w:color="auto"/>
            <w:left w:val="none" w:sz="0" w:space="0" w:color="auto"/>
            <w:bottom w:val="none" w:sz="0" w:space="0" w:color="auto"/>
            <w:right w:val="none" w:sz="0" w:space="0" w:color="auto"/>
          </w:divBdr>
        </w:div>
        <w:div w:id="943727428">
          <w:marLeft w:val="0"/>
          <w:marRight w:val="0"/>
          <w:marTop w:val="0"/>
          <w:marBottom w:val="0"/>
          <w:divBdr>
            <w:top w:val="none" w:sz="0" w:space="0" w:color="auto"/>
            <w:left w:val="none" w:sz="0" w:space="0" w:color="auto"/>
            <w:bottom w:val="none" w:sz="0" w:space="0" w:color="auto"/>
            <w:right w:val="none" w:sz="0" w:space="0" w:color="auto"/>
          </w:divBdr>
        </w:div>
        <w:div w:id="1902136194">
          <w:marLeft w:val="0"/>
          <w:marRight w:val="0"/>
          <w:marTop w:val="0"/>
          <w:marBottom w:val="0"/>
          <w:divBdr>
            <w:top w:val="none" w:sz="0" w:space="0" w:color="auto"/>
            <w:left w:val="none" w:sz="0" w:space="0" w:color="auto"/>
            <w:bottom w:val="none" w:sz="0" w:space="0" w:color="auto"/>
            <w:right w:val="none" w:sz="0" w:space="0" w:color="auto"/>
          </w:divBdr>
        </w:div>
        <w:div w:id="1373068642">
          <w:marLeft w:val="0"/>
          <w:marRight w:val="0"/>
          <w:marTop w:val="0"/>
          <w:marBottom w:val="0"/>
          <w:divBdr>
            <w:top w:val="none" w:sz="0" w:space="0" w:color="auto"/>
            <w:left w:val="none" w:sz="0" w:space="0" w:color="auto"/>
            <w:bottom w:val="none" w:sz="0" w:space="0" w:color="auto"/>
            <w:right w:val="none" w:sz="0" w:space="0" w:color="auto"/>
          </w:divBdr>
        </w:div>
        <w:div w:id="441538665">
          <w:marLeft w:val="0"/>
          <w:marRight w:val="0"/>
          <w:marTop w:val="0"/>
          <w:marBottom w:val="0"/>
          <w:divBdr>
            <w:top w:val="none" w:sz="0" w:space="0" w:color="auto"/>
            <w:left w:val="none" w:sz="0" w:space="0" w:color="auto"/>
            <w:bottom w:val="none" w:sz="0" w:space="0" w:color="auto"/>
            <w:right w:val="none" w:sz="0" w:space="0" w:color="auto"/>
          </w:divBdr>
        </w:div>
        <w:div w:id="334189771">
          <w:marLeft w:val="0"/>
          <w:marRight w:val="0"/>
          <w:marTop w:val="0"/>
          <w:marBottom w:val="0"/>
          <w:divBdr>
            <w:top w:val="none" w:sz="0" w:space="0" w:color="auto"/>
            <w:left w:val="none" w:sz="0" w:space="0" w:color="auto"/>
            <w:bottom w:val="none" w:sz="0" w:space="0" w:color="auto"/>
            <w:right w:val="none" w:sz="0" w:space="0" w:color="auto"/>
          </w:divBdr>
          <w:divsChild>
            <w:div w:id="1340351314">
              <w:marLeft w:val="0"/>
              <w:marRight w:val="0"/>
              <w:marTop w:val="0"/>
              <w:marBottom w:val="0"/>
              <w:divBdr>
                <w:top w:val="none" w:sz="0" w:space="0" w:color="auto"/>
                <w:left w:val="none" w:sz="0" w:space="0" w:color="auto"/>
                <w:bottom w:val="none" w:sz="0" w:space="0" w:color="auto"/>
                <w:right w:val="none" w:sz="0" w:space="0" w:color="auto"/>
              </w:divBdr>
            </w:div>
            <w:div w:id="451752285">
              <w:marLeft w:val="0"/>
              <w:marRight w:val="0"/>
              <w:marTop w:val="0"/>
              <w:marBottom w:val="0"/>
              <w:divBdr>
                <w:top w:val="none" w:sz="0" w:space="0" w:color="auto"/>
                <w:left w:val="none" w:sz="0" w:space="0" w:color="auto"/>
                <w:bottom w:val="none" w:sz="0" w:space="0" w:color="auto"/>
                <w:right w:val="none" w:sz="0" w:space="0" w:color="auto"/>
              </w:divBdr>
            </w:div>
            <w:div w:id="1664317318">
              <w:marLeft w:val="0"/>
              <w:marRight w:val="0"/>
              <w:marTop w:val="0"/>
              <w:marBottom w:val="0"/>
              <w:divBdr>
                <w:top w:val="none" w:sz="0" w:space="0" w:color="auto"/>
                <w:left w:val="none" w:sz="0" w:space="0" w:color="auto"/>
                <w:bottom w:val="none" w:sz="0" w:space="0" w:color="auto"/>
                <w:right w:val="none" w:sz="0" w:space="0" w:color="auto"/>
              </w:divBdr>
            </w:div>
            <w:div w:id="139003683">
              <w:marLeft w:val="0"/>
              <w:marRight w:val="0"/>
              <w:marTop w:val="0"/>
              <w:marBottom w:val="0"/>
              <w:divBdr>
                <w:top w:val="none" w:sz="0" w:space="0" w:color="auto"/>
                <w:left w:val="none" w:sz="0" w:space="0" w:color="auto"/>
                <w:bottom w:val="none" w:sz="0" w:space="0" w:color="auto"/>
                <w:right w:val="none" w:sz="0" w:space="0" w:color="auto"/>
              </w:divBdr>
            </w:div>
            <w:div w:id="14345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22">
      <w:bodyDiv w:val="1"/>
      <w:marLeft w:val="0"/>
      <w:marRight w:val="0"/>
      <w:marTop w:val="0"/>
      <w:marBottom w:val="0"/>
      <w:divBdr>
        <w:top w:val="none" w:sz="0" w:space="0" w:color="auto"/>
        <w:left w:val="none" w:sz="0" w:space="0" w:color="auto"/>
        <w:bottom w:val="none" w:sz="0" w:space="0" w:color="auto"/>
        <w:right w:val="none" w:sz="0" w:space="0" w:color="auto"/>
      </w:divBdr>
      <w:divsChild>
        <w:div w:id="203252892">
          <w:marLeft w:val="0"/>
          <w:marRight w:val="0"/>
          <w:marTop w:val="0"/>
          <w:marBottom w:val="0"/>
          <w:divBdr>
            <w:top w:val="none" w:sz="0" w:space="0" w:color="auto"/>
            <w:left w:val="none" w:sz="0" w:space="0" w:color="auto"/>
            <w:bottom w:val="none" w:sz="0" w:space="0" w:color="auto"/>
            <w:right w:val="none" w:sz="0" w:space="0" w:color="auto"/>
          </w:divBdr>
        </w:div>
        <w:div w:id="1375076474">
          <w:marLeft w:val="0"/>
          <w:marRight w:val="0"/>
          <w:marTop w:val="0"/>
          <w:marBottom w:val="0"/>
          <w:divBdr>
            <w:top w:val="none" w:sz="0" w:space="0" w:color="auto"/>
            <w:left w:val="none" w:sz="0" w:space="0" w:color="auto"/>
            <w:bottom w:val="none" w:sz="0" w:space="0" w:color="auto"/>
            <w:right w:val="none" w:sz="0" w:space="0" w:color="auto"/>
          </w:divBdr>
        </w:div>
        <w:div w:id="1361584621">
          <w:marLeft w:val="0"/>
          <w:marRight w:val="0"/>
          <w:marTop w:val="0"/>
          <w:marBottom w:val="0"/>
          <w:divBdr>
            <w:top w:val="none" w:sz="0" w:space="0" w:color="auto"/>
            <w:left w:val="none" w:sz="0" w:space="0" w:color="auto"/>
            <w:bottom w:val="none" w:sz="0" w:space="0" w:color="auto"/>
            <w:right w:val="none" w:sz="0" w:space="0" w:color="auto"/>
          </w:divBdr>
        </w:div>
        <w:div w:id="198009564">
          <w:marLeft w:val="0"/>
          <w:marRight w:val="0"/>
          <w:marTop w:val="0"/>
          <w:marBottom w:val="0"/>
          <w:divBdr>
            <w:top w:val="none" w:sz="0" w:space="0" w:color="auto"/>
            <w:left w:val="none" w:sz="0" w:space="0" w:color="auto"/>
            <w:bottom w:val="none" w:sz="0" w:space="0" w:color="auto"/>
            <w:right w:val="none" w:sz="0" w:space="0" w:color="auto"/>
          </w:divBdr>
        </w:div>
        <w:div w:id="1184519545">
          <w:marLeft w:val="0"/>
          <w:marRight w:val="0"/>
          <w:marTop w:val="0"/>
          <w:marBottom w:val="0"/>
          <w:divBdr>
            <w:top w:val="none" w:sz="0" w:space="0" w:color="auto"/>
            <w:left w:val="none" w:sz="0" w:space="0" w:color="auto"/>
            <w:bottom w:val="none" w:sz="0" w:space="0" w:color="auto"/>
            <w:right w:val="none" w:sz="0" w:space="0" w:color="auto"/>
          </w:divBdr>
        </w:div>
        <w:div w:id="546337571">
          <w:marLeft w:val="0"/>
          <w:marRight w:val="0"/>
          <w:marTop w:val="0"/>
          <w:marBottom w:val="0"/>
          <w:divBdr>
            <w:top w:val="none" w:sz="0" w:space="0" w:color="auto"/>
            <w:left w:val="none" w:sz="0" w:space="0" w:color="auto"/>
            <w:bottom w:val="none" w:sz="0" w:space="0" w:color="auto"/>
            <w:right w:val="none" w:sz="0" w:space="0" w:color="auto"/>
          </w:divBdr>
        </w:div>
        <w:div w:id="679939335">
          <w:marLeft w:val="0"/>
          <w:marRight w:val="0"/>
          <w:marTop w:val="0"/>
          <w:marBottom w:val="0"/>
          <w:divBdr>
            <w:top w:val="none" w:sz="0" w:space="0" w:color="auto"/>
            <w:left w:val="none" w:sz="0" w:space="0" w:color="auto"/>
            <w:bottom w:val="none" w:sz="0" w:space="0" w:color="auto"/>
            <w:right w:val="none" w:sz="0" w:space="0" w:color="auto"/>
          </w:divBdr>
        </w:div>
        <w:div w:id="1426732825">
          <w:marLeft w:val="0"/>
          <w:marRight w:val="0"/>
          <w:marTop w:val="0"/>
          <w:marBottom w:val="0"/>
          <w:divBdr>
            <w:top w:val="none" w:sz="0" w:space="0" w:color="auto"/>
            <w:left w:val="none" w:sz="0" w:space="0" w:color="auto"/>
            <w:bottom w:val="none" w:sz="0" w:space="0" w:color="auto"/>
            <w:right w:val="none" w:sz="0" w:space="0" w:color="auto"/>
          </w:divBdr>
        </w:div>
        <w:div w:id="1627009726">
          <w:marLeft w:val="0"/>
          <w:marRight w:val="0"/>
          <w:marTop w:val="0"/>
          <w:marBottom w:val="0"/>
          <w:divBdr>
            <w:top w:val="none" w:sz="0" w:space="0" w:color="auto"/>
            <w:left w:val="none" w:sz="0" w:space="0" w:color="auto"/>
            <w:bottom w:val="none" w:sz="0" w:space="0" w:color="auto"/>
            <w:right w:val="none" w:sz="0" w:space="0" w:color="auto"/>
          </w:divBdr>
        </w:div>
        <w:div w:id="1106727467">
          <w:marLeft w:val="0"/>
          <w:marRight w:val="0"/>
          <w:marTop w:val="0"/>
          <w:marBottom w:val="0"/>
          <w:divBdr>
            <w:top w:val="none" w:sz="0" w:space="0" w:color="auto"/>
            <w:left w:val="none" w:sz="0" w:space="0" w:color="auto"/>
            <w:bottom w:val="none" w:sz="0" w:space="0" w:color="auto"/>
            <w:right w:val="none" w:sz="0" w:space="0" w:color="auto"/>
          </w:divBdr>
        </w:div>
        <w:div w:id="225724428">
          <w:marLeft w:val="0"/>
          <w:marRight w:val="0"/>
          <w:marTop w:val="0"/>
          <w:marBottom w:val="0"/>
          <w:divBdr>
            <w:top w:val="none" w:sz="0" w:space="0" w:color="auto"/>
            <w:left w:val="none" w:sz="0" w:space="0" w:color="auto"/>
            <w:bottom w:val="none" w:sz="0" w:space="0" w:color="auto"/>
            <w:right w:val="none" w:sz="0" w:space="0" w:color="auto"/>
          </w:divBdr>
          <w:divsChild>
            <w:div w:id="1382830749">
              <w:marLeft w:val="0"/>
              <w:marRight w:val="0"/>
              <w:marTop w:val="0"/>
              <w:marBottom w:val="0"/>
              <w:divBdr>
                <w:top w:val="none" w:sz="0" w:space="0" w:color="auto"/>
                <w:left w:val="none" w:sz="0" w:space="0" w:color="auto"/>
                <w:bottom w:val="none" w:sz="0" w:space="0" w:color="auto"/>
                <w:right w:val="none" w:sz="0" w:space="0" w:color="auto"/>
              </w:divBdr>
            </w:div>
            <w:div w:id="1695303264">
              <w:marLeft w:val="0"/>
              <w:marRight w:val="0"/>
              <w:marTop w:val="0"/>
              <w:marBottom w:val="0"/>
              <w:divBdr>
                <w:top w:val="none" w:sz="0" w:space="0" w:color="auto"/>
                <w:left w:val="none" w:sz="0" w:space="0" w:color="auto"/>
                <w:bottom w:val="none" w:sz="0" w:space="0" w:color="auto"/>
                <w:right w:val="none" w:sz="0" w:space="0" w:color="auto"/>
              </w:divBdr>
            </w:div>
            <w:div w:id="1594050332">
              <w:marLeft w:val="0"/>
              <w:marRight w:val="0"/>
              <w:marTop w:val="0"/>
              <w:marBottom w:val="0"/>
              <w:divBdr>
                <w:top w:val="none" w:sz="0" w:space="0" w:color="auto"/>
                <w:left w:val="none" w:sz="0" w:space="0" w:color="auto"/>
                <w:bottom w:val="none" w:sz="0" w:space="0" w:color="auto"/>
                <w:right w:val="none" w:sz="0" w:space="0" w:color="auto"/>
              </w:divBdr>
            </w:div>
            <w:div w:id="374358070">
              <w:marLeft w:val="0"/>
              <w:marRight w:val="0"/>
              <w:marTop w:val="0"/>
              <w:marBottom w:val="0"/>
              <w:divBdr>
                <w:top w:val="none" w:sz="0" w:space="0" w:color="auto"/>
                <w:left w:val="none" w:sz="0" w:space="0" w:color="auto"/>
                <w:bottom w:val="none" w:sz="0" w:space="0" w:color="auto"/>
                <w:right w:val="none" w:sz="0" w:space="0" w:color="auto"/>
              </w:divBdr>
            </w:div>
            <w:div w:id="19916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napier.ac.uk/Student-Administration/Extenuating%20Circumstances/Pages/Extenuating-Circumstances.aspx" TargetMode="External"/><Relationship Id="rId18" Type="http://schemas.openxmlformats.org/officeDocument/2006/relationships/hyperlink" Target="mailto:Merchistonecs@napier.ac.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HSC.ExtCirc@napier.ac.uk" TargetMode="External"/><Relationship Id="rId7" Type="http://schemas.openxmlformats.org/officeDocument/2006/relationships/endnotes" Target="endnotes.xml"/><Relationship Id="rId12" Type="http://schemas.openxmlformats.org/officeDocument/2006/relationships/hyperlink" Target="https://bpm.napier.ac.uk/runtime/runtime/form/da1?EC=DA" TargetMode="External"/><Relationship Id="rId17" Type="http://schemas.openxmlformats.org/officeDocument/2006/relationships/hyperlink" Target="mailto:FitToSitECsTBS@napier.ac.u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mailto:Merchistonecs@napier.ac.uk"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y.napier.ac.uk/Student-Administration/Extenuating%20Circumstances/Pages/Extenuating-Circumstances.asp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taff.napier.ac.uk/services/dlte/Regulations/Pages/Regulations.aspx" TargetMode="External"/><Relationship Id="rId19" Type="http://schemas.openxmlformats.org/officeDocument/2006/relationships/hyperlink" Target="mailto:Merchistonecs@napier.ac.uk"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pm.napier.ac.uk/runtime/runtime/form/da1?EC=EC" TargetMode="External"/><Relationship Id="rId22" Type="http://schemas.openxmlformats.org/officeDocument/2006/relationships/hyperlink" Target="mailto:SAS.ExtCirc@napier.ac.uk"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6D9847-B1F0-4147-B1AD-E548A2890F14}"/>
</file>

<file path=customXml/itemProps2.xml><?xml version="1.0" encoding="utf-8"?>
<ds:datastoreItem xmlns:ds="http://schemas.openxmlformats.org/officeDocument/2006/customXml" ds:itemID="{061FA222-C701-42C7-BAAE-470D5EDE930B}"/>
</file>

<file path=customXml/itemProps3.xml><?xml version="1.0" encoding="utf-8"?>
<ds:datastoreItem xmlns:ds="http://schemas.openxmlformats.org/officeDocument/2006/customXml" ds:itemID="{50B4ACDB-58E4-464B-B5BB-043CAE4DEE29}"/>
</file>

<file path=customXml/itemProps4.xml><?xml version="1.0" encoding="utf-8"?>
<ds:datastoreItem xmlns:ds="http://schemas.openxmlformats.org/officeDocument/2006/customXml" ds:itemID="{829B5BD5-FC1C-4F94-A668-E646076578B1}"/>
</file>

<file path=docProps/app.xml><?xml version="1.0" encoding="utf-8"?>
<Properties xmlns="http://schemas.openxmlformats.org/officeDocument/2006/extended-properties" xmlns:vt="http://schemas.openxmlformats.org/officeDocument/2006/docPropsVTypes">
  <Template>Normal.dotm</Template>
  <TotalTime>45</TotalTime>
  <Pages>9</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Elise</dc:creator>
  <cp:keywords/>
  <dc:description/>
  <cp:lastModifiedBy>Calabrese, Pamela</cp:lastModifiedBy>
  <cp:revision>5</cp:revision>
  <dcterms:created xsi:type="dcterms:W3CDTF">2018-08-27T14:25:00Z</dcterms:created>
  <dcterms:modified xsi:type="dcterms:W3CDTF">2018-09-11T10:31:00Z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Keywords">
    <vt:lpwstr/>
  </property>
  <property fmtid="{D5CDD505-2E9C-101B-9397-08002B2CF9AE}" pid="4" name="TemplateUrl">
    <vt:lpwstr/>
  </property>
  <property fmtid="{D5CDD505-2E9C-101B-9397-08002B2CF9AE}" pid="5" name="Order">
    <vt:r8>14300</vt:r8>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Document Description">
    <vt:lpwstr/>
  </property>
  <property fmtid="{D5CDD505-2E9C-101B-9397-08002B2CF9AE}" pid="10" name="xd_ProgID">
    <vt:lpwstr/>
  </property>
</Properties>
</file>